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20354BB2"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1E6BB16A" w:rsidR="00E66558" w:rsidRDefault="009D71E8">
      <w:pPr>
        <w:pStyle w:val="Heading2"/>
        <w:rPr>
          <w:b w:val="0"/>
          <w:bCs/>
          <w:color w:val="auto"/>
          <w:sz w:val="24"/>
          <w:szCs w:val="24"/>
        </w:rPr>
      </w:pPr>
      <w:r>
        <w:rPr>
          <w:b w:val="0"/>
          <w:bCs/>
          <w:color w:val="auto"/>
          <w:sz w:val="24"/>
          <w:szCs w:val="24"/>
        </w:rPr>
        <w:t xml:space="preserve">This statement details </w:t>
      </w:r>
      <w:r w:rsidR="00662785">
        <w:rPr>
          <w:b w:val="0"/>
          <w:bCs/>
          <w:color w:val="auto"/>
          <w:sz w:val="24"/>
          <w:szCs w:val="24"/>
        </w:rPr>
        <w:t>St Ann’s Well Academy’s</w:t>
      </w:r>
      <w:r>
        <w:rPr>
          <w:b w:val="0"/>
          <w:bCs/>
          <w:color w:val="auto"/>
          <w:sz w:val="24"/>
          <w:szCs w:val="24"/>
        </w:rPr>
        <w:t xml:space="preserve"> use of pupil premium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5429C6B3" w:rsidR="00E66558" w:rsidRDefault="00A2595A">
            <w:pPr>
              <w:pStyle w:val="TableRow"/>
            </w:pPr>
            <w:r>
              <w:t>St Ann’s Well Academy</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77092A4B" w:rsidR="00E66558" w:rsidRPr="00B9132C" w:rsidRDefault="00824C16">
            <w:pPr>
              <w:pStyle w:val="TableRow"/>
              <w:rPr>
                <w:highlight w:val="yellow"/>
              </w:rPr>
            </w:pPr>
            <w:r w:rsidRPr="007D1378">
              <w:t>2</w:t>
            </w:r>
            <w:r w:rsidR="007D1378" w:rsidRPr="007D1378">
              <w:t>13</w:t>
            </w:r>
          </w:p>
        </w:tc>
      </w:tr>
      <w:tr w:rsidR="00E66558" w14:paraId="2A7D54C0" w14:textId="77777777" w:rsidTr="007A5D2B">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7D54BF" w14:textId="191A93F6" w:rsidR="00E66558" w:rsidRPr="00B9132C" w:rsidRDefault="00B977B4">
            <w:pPr>
              <w:pStyle w:val="TableRow"/>
              <w:rPr>
                <w:highlight w:val="yellow"/>
              </w:rPr>
            </w:pPr>
            <w:r w:rsidRPr="007D1378">
              <w:t>5</w:t>
            </w:r>
            <w:r w:rsidR="007D1378" w:rsidRPr="007D1378">
              <w:t>8</w:t>
            </w:r>
            <w:r w:rsidRPr="007D1378">
              <w:t>%</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793924A9" w:rsidR="00E66558" w:rsidRPr="00B9132C" w:rsidRDefault="00A2595A">
            <w:pPr>
              <w:pStyle w:val="TableRow"/>
              <w:rPr>
                <w:highlight w:val="yellow"/>
              </w:rPr>
            </w:pPr>
            <w:r w:rsidRPr="007D1378">
              <w:t>202</w:t>
            </w:r>
            <w:r w:rsidR="00E57D07" w:rsidRPr="007D1378">
              <w:t>4</w:t>
            </w:r>
            <w:r w:rsidRPr="007D1378">
              <w:t>-202</w:t>
            </w:r>
            <w:r w:rsidR="00E57D07" w:rsidRPr="007D1378">
              <w:t>7</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53BA9111" w:rsidR="00E66558" w:rsidRPr="007D1378" w:rsidRDefault="007D1378">
            <w:pPr>
              <w:pStyle w:val="TableRow"/>
            </w:pPr>
            <w:r w:rsidRPr="007D1378">
              <w:t>December 2025</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6543873E" w:rsidR="00E66558" w:rsidRPr="007D1378" w:rsidRDefault="001C4262">
            <w:pPr>
              <w:pStyle w:val="TableRow"/>
            </w:pPr>
            <w:r w:rsidRPr="007D1378">
              <w:t>November</w:t>
            </w:r>
            <w:r w:rsidR="00822288" w:rsidRPr="007D1378">
              <w:t xml:space="preserve"> 202</w:t>
            </w:r>
            <w:r w:rsidR="007D1378" w:rsidRPr="007D1378">
              <w:t>6</w:t>
            </w:r>
          </w:p>
        </w:tc>
      </w:tr>
      <w:tr w:rsidR="00B9132C"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B9132C" w:rsidRDefault="00B9132C" w:rsidP="00B9132C">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047A642A" w:rsidR="00B9132C" w:rsidRDefault="00B9132C" w:rsidP="00B9132C">
            <w:pPr>
              <w:pStyle w:val="TableRow"/>
            </w:pPr>
            <w:r>
              <w:t>Emily Smithurst</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6EF802C9" w:rsidR="00E66558" w:rsidRDefault="007D1378">
            <w:pPr>
              <w:pStyle w:val="TableRow"/>
            </w:pPr>
            <w:r>
              <w:t>Emily Smithurst</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1E8297B2" w:rsidR="00E66558" w:rsidRDefault="005C303D">
            <w:pPr>
              <w:pStyle w:val="TableRow"/>
            </w:pPr>
            <w:r>
              <w:t>Ma</w:t>
            </w:r>
            <w:r w:rsidR="00E638D6">
              <w:t>thilda Stone</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04DBFF85" w:rsidR="00E66558" w:rsidRPr="00A3204B" w:rsidRDefault="004550DF">
            <w:pPr>
              <w:pStyle w:val="TableRow"/>
            </w:pPr>
            <w:r w:rsidRPr="00A3204B">
              <w:t>£</w:t>
            </w:r>
            <w:r w:rsidR="00A3204B" w:rsidRPr="00A3204B">
              <w:t>194,324</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672ED5D0" w:rsidR="00E66558" w:rsidRPr="00A3204B" w:rsidRDefault="009D71E8">
            <w:pPr>
              <w:pStyle w:val="TableRow"/>
            </w:pPr>
            <w:r w:rsidRPr="00A3204B">
              <w:t>£</w:t>
            </w:r>
            <w:r w:rsidR="0080069A" w:rsidRPr="00A3204B">
              <w:t>0</w:t>
            </w:r>
          </w:p>
        </w:tc>
      </w:tr>
      <w:tr w:rsidR="00A3204B"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A3204B" w:rsidRDefault="00A3204B" w:rsidP="00A3204B">
            <w:pPr>
              <w:pStyle w:val="TableRow"/>
              <w:rPr>
                <w:b/>
              </w:rPr>
            </w:pPr>
            <w:r>
              <w:rPr>
                <w:b/>
              </w:rPr>
              <w:t>Total budget for this academic year</w:t>
            </w:r>
          </w:p>
          <w:p w14:paraId="2A7D54E1" w14:textId="77777777" w:rsidR="00A3204B" w:rsidRDefault="00A3204B" w:rsidP="00A3204B">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5FD78806" w:rsidR="00A3204B" w:rsidRPr="00B9132C" w:rsidRDefault="00A3204B" w:rsidP="00A3204B">
            <w:pPr>
              <w:pStyle w:val="TableRow"/>
              <w:rPr>
                <w:highlight w:val="yellow"/>
              </w:rPr>
            </w:pPr>
            <w:r w:rsidRPr="00A3204B">
              <w:t>£194,324</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C3791" w14:textId="51DA0986" w:rsidR="002F3BBF" w:rsidRDefault="002F3BBF">
            <w:pPr>
              <w:spacing w:before="120"/>
            </w:pPr>
            <w:r>
              <w:t>At St Ann’s Well Academy</w:t>
            </w:r>
            <w:r w:rsidR="003E5D93">
              <w:t xml:space="preserve">, we endeavour to fulfil the Pupil Premium Policy set out by the LEAD Academy Trust by deploying the following trust strategies to </w:t>
            </w:r>
            <w:r w:rsidR="000E5389">
              <w:t>diminish</w:t>
            </w:r>
            <w:r w:rsidR="003E5D93">
              <w:t xml:space="preserve"> the difference in attainment for pupils in receipt of the Pupil Premium funding.</w:t>
            </w:r>
          </w:p>
          <w:p w14:paraId="145125A4" w14:textId="68C7C924" w:rsidR="005A5061" w:rsidRDefault="005A5061" w:rsidP="005A5061">
            <w:pPr>
              <w:pStyle w:val="ListParagraph"/>
              <w:numPr>
                <w:ilvl w:val="0"/>
                <w:numId w:val="17"/>
              </w:numPr>
              <w:spacing w:before="120"/>
            </w:pPr>
            <w:r>
              <w:t>Clear responsive</w:t>
            </w:r>
            <w:r w:rsidR="00E80630">
              <w:t xml:space="preserve"> leadership</w:t>
            </w:r>
          </w:p>
          <w:p w14:paraId="6388260C" w14:textId="29F46236" w:rsidR="00E80630" w:rsidRDefault="00A75996" w:rsidP="005A5061">
            <w:pPr>
              <w:pStyle w:val="ListParagraph"/>
              <w:numPr>
                <w:ilvl w:val="0"/>
                <w:numId w:val="17"/>
              </w:numPr>
              <w:spacing w:before="120"/>
            </w:pPr>
            <w:r>
              <w:t>Having a whole school ethos of attainment for all</w:t>
            </w:r>
          </w:p>
          <w:p w14:paraId="0830DF63" w14:textId="5E2CCC8A" w:rsidR="00A75996" w:rsidRDefault="00A75996" w:rsidP="005A5061">
            <w:pPr>
              <w:pStyle w:val="ListParagraph"/>
              <w:numPr>
                <w:ilvl w:val="0"/>
                <w:numId w:val="17"/>
              </w:numPr>
              <w:spacing w:before="120"/>
            </w:pPr>
            <w:r>
              <w:t xml:space="preserve">Addressing behaviours </w:t>
            </w:r>
            <w:r w:rsidR="00EE413E">
              <w:t xml:space="preserve">for learning and conduct behaviours that prevent </w:t>
            </w:r>
            <w:r w:rsidR="00A97D99">
              <w:t>pupils</w:t>
            </w:r>
            <w:r w:rsidR="00EE413E">
              <w:t xml:space="preserve"> from learning</w:t>
            </w:r>
          </w:p>
          <w:p w14:paraId="4292C1BC" w14:textId="5A65C814" w:rsidR="00EE413E" w:rsidRDefault="00EE413E" w:rsidP="005A5061">
            <w:pPr>
              <w:pStyle w:val="ListParagraph"/>
              <w:numPr>
                <w:ilvl w:val="0"/>
                <w:numId w:val="17"/>
              </w:numPr>
              <w:spacing w:before="120"/>
            </w:pPr>
            <w:r>
              <w:t>Monitoring and addressing low attendance</w:t>
            </w:r>
          </w:p>
          <w:p w14:paraId="6BD766D1" w14:textId="422004E8" w:rsidR="00EE413E" w:rsidRDefault="00A64FCD" w:rsidP="005A5061">
            <w:pPr>
              <w:pStyle w:val="ListParagraph"/>
              <w:numPr>
                <w:ilvl w:val="0"/>
                <w:numId w:val="17"/>
              </w:numPr>
              <w:spacing w:before="120"/>
            </w:pPr>
            <w:r>
              <w:t>Facilitating high quality teaching for all continued professional development of staff</w:t>
            </w:r>
          </w:p>
          <w:p w14:paraId="260EFCCB" w14:textId="04615DDC" w:rsidR="001D1138" w:rsidRDefault="001D1138" w:rsidP="005A5061">
            <w:pPr>
              <w:pStyle w:val="ListParagraph"/>
              <w:numPr>
                <w:ilvl w:val="0"/>
                <w:numId w:val="17"/>
              </w:numPr>
              <w:spacing w:before="120"/>
            </w:pPr>
            <w:r>
              <w:t>Meeting individual learning needs including those pupils who are the most able and seemingly need no support</w:t>
            </w:r>
          </w:p>
          <w:p w14:paraId="76E2A237" w14:textId="6C40E259" w:rsidR="001D1138" w:rsidRDefault="001D1138" w:rsidP="005A5061">
            <w:pPr>
              <w:pStyle w:val="ListParagraph"/>
              <w:numPr>
                <w:ilvl w:val="0"/>
                <w:numId w:val="17"/>
              </w:numPr>
              <w:spacing w:before="120"/>
            </w:pPr>
            <w:r>
              <w:t>Deploying staff effectively</w:t>
            </w:r>
            <w:r w:rsidR="00B25DDB">
              <w:t>, both teaching and support staff</w:t>
            </w:r>
          </w:p>
          <w:p w14:paraId="5C5C9651" w14:textId="339BDEB6" w:rsidR="00B25DDB" w:rsidRDefault="00B25DDB" w:rsidP="005A5061">
            <w:pPr>
              <w:pStyle w:val="ListParagraph"/>
              <w:numPr>
                <w:ilvl w:val="0"/>
                <w:numId w:val="17"/>
              </w:numPr>
              <w:spacing w:before="120"/>
            </w:pPr>
            <w:r>
              <w:t>Using pupil progress data to inform the planning of interventions and provision</w:t>
            </w:r>
          </w:p>
          <w:p w14:paraId="2239C768" w14:textId="73E0B2E7" w:rsidR="00977209" w:rsidRDefault="00977209">
            <w:pPr>
              <w:spacing w:before="120"/>
            </w:pPr>
            <w:r>
              <w:t>Our vision at St Ann’s Well Academy is to empower pupils</w:t>
            </w:r>
            <w:r w:rsidR="00D0041C">
              <w:t>, irrespective of their background or the challenges th</w:t>
            </w:r>
            <w:r w:rsidR="002518C2">
              <w:t>ey face</w:t>
            </w:r>
            <w:r w:rsidR="00FD2C55">
              <w:t>,</w:t>
            </w:r>
            <w:r>
              <w:t xml:space="preserve"> to acquire,</w:t>
            </w:r>
            <w:r w:rsidR="004A7A71">
              <w:t xml:space="preserve"> demonstrate and articulate </w:t>
            </w:r>
            <w:r w:rsidR="00D97B8E">
              <w:t>knowledge, skills and personal values that will support them as life-long learners</w:t>
            </w:r>
            <w:r w:rsidR="00D0041C">
              <w:t xml:space="preserve"> and citizens of the future.</w:t>
            </w:r>
            <w:r w:rsidR="00FD2C55">
              <w:t xml:space="preserve">  Th</w:t>
            </w:r>
            <w:r w:rsidR="00321252">
              <w:t>u</w:t>
            </w:r>
            <w:r w:rsidR="00FD2C55">
              <w:t>s</w:t>
            </w:r>
            <w:r w:rsidR="00E41B67">
              <w:t>,</w:t>
            </w:r>
            <w:r w:rsidR="00FD2C55">
              <w:t xml:space="preserve"> our intention is that </w:t>
            </w:r>
            <w:r w:rsidR="00C32D42">
              <w:t>we support our disadvantaged pupils to achieve that goal</w:t>
            </w:r>
            <w:r w:rsidR="00AD01C2">
              <w:t xml:space="preserve"> and succeed</w:t>
            </w:r>
            <w:r w:rsidR="009410E7">
              <w:t xml:space="preserve"> in line with their non-disadvantaged peers.</w:t>
            </w:r>
          </w:p>
          <w:p w14:paraId="580B5D75" w14:textId="365931C4" w:rsidR="001676F1" w:rsidRDefault="00C17C5D">
            <w:pPr>
              <w:spacing w:before="120"/>
            </w:pPr>
            <w:r>
              <w:t>Pupils who are in receipt of Pupil Premium Funding face specific barriers to reaching their full potential and</w:t>
            </w:r>
            <w:r w:rsidR="00924962">
              <w:t xml:space="preserve">, at St Ann’s Well Academy we are determined to provide the support and guidance that they need to </w:t>
            </w:r>
            <w:r w:rsidR="00B91827">
              <w:t xml:space="preserve">help them </w:t>
            </w:r>
            <w:r w:rsidR="00924962">
              <w:t>overcome these</w:t>
            </w:r>
            <w:r w:rsidR="00B91827">
              <w:t>.</w:t>
            </w:r>
          </w:p>
          <w:p w14:paraId="7420A3BD" w14:textId="353B8243" w:rsidR="00BC760F" w:rsidRDefault="004A2EEE">
            <w:pPr>
              <w:spacing w:before="120"/>
            </w:pPr>
            <w:r>
              <w:t>High quality teaching is at the heart of our approach</w:t>
            </w:r>
            <w:r w:rsidR="00732278">
              <w:t>, with a focus on areas in which disadvantage</w:t>
            </w:r>
            <w:r w:rsidR="00F86FB5">
              <w:t>d</w:t>
            </w:r>
            <w:r w:rsidR="00732278">
              <w:t xml:space="preserve"> pupils require the most support.  This is proven to have the greatest impact</w:t>
            </w:r>
            <w:r w:rsidR="00475D2C">
              <w:t xml:space="preserve"> on closing the disadvantage attainment gap and at the same time will benefit the non-disadvantaged in our school</w:t>
            </w:r>
            <w:r w:rsidR="00945C93">
              <w:t xml:space="preserve">.  </w:t>
            </w:r>
          </w:p>
          <w:p w14:paraId="5DDDE10C" w14:textId="3FBD8869" w:rsidR="00AD3614" w:rsidRDefault="00944679">
            <w:pPr>
              <w:spacing w:before="120"/>
            </w:pPr>
            <w:r>
              <w:t>Whilst we are relentless in our pursuit of academic equity</w:t>
            </w:r>
            <w:r w:rsidR="007904DB">
              <w:t xml:space="preserve"> for our disadvantaged pupils, </w:t>
            </w:r>
            <w:r w:rsidR="006151C8">
              <w:t xml:space="preserve">it is also important that other barriers are broken including </w:t>
            </w:r>
            <w:r w:rsidR="00A00BF0">
              <w:t>economic</w:t>
            </w:r>
            <w:r w:rsidR="006151C8">
              <w:t xml:space="preserve"> and social and emotional issues through the careful </w:t>
            </w:r>
            <w:r w:rsidR="0017654F">
              <w:t xml:space="preserve">targeted </w:t>
            </w:r>
            <w:r w:rsidR="006151C8">
              <w:t xml:space="preserve">use of </w:t>
            </w:r>
            <w:r w:rsidR="00A77CD4">
              <w:t>Pupil Premium funding.</w:t>
            </w:r>
          </w:p>
          <w:p w14:paraId="74171A51" w14:textId="556EFBC8" w:rsidR="0085346E" w:rsidRDefault="0085346E">
            <w:pPr>
              <w:spacing w:before="120"/>
            </w:pPr>
            <w:r>
              <w:t>Our approach will be responsive to common challenges and individual needs</w:t>
            </w:r>
            <w:r w:rsidR="00802663">
              <w:t xml:space="preserve"> raised across school through diagnostic assessments and </w:t>
            </w:r>
            <w:r w:rsidR="00764BF3">
              <w:t>professional knowledge of our pupils.</w:t>
            </w:r>
            <w:r w:rsidR="00D0475D">
              <w:t xml:space="preserve">  In response to this, we will prioritise:</w:t>
            </w:r>
          </w:p>
          <w:p w14:paraId="1F23A19A" w14:textId="0249E897" w:rsidR="00D0475D" w:rsidRDefault="005C2285" w:rsidP="00D0475D">
            <w:pPr>
              <w:pStyle w:val="ListParagraph"/>
              <w:numPr>
                <w:ilvl w:val="0"/>
                <w:numId w:val="14"/>
              </w:numPr>
              <w:spacing w:before="120"/>
            </w:pPr>
            <w:r>
              <w:t>Developing teaching pedagogy, ensuring it</w:t>
            </w:r>
            <w:r w:rsidR="00A0723C">
              <w:t xml:space="preserve">’s </w:t>
            </w:r>
            <w:r w:rsidR="00270BDE">
              <w:t xml:space="preserve">of a </w:t>
            </w:r>
            <w:r w:rsidR="00A0723C">
              <w:t>consistent</w:t>
            </w:r>
            <w:r>
              <w:t xml:space="preserve"> high quality</w:t>
            </w:r>
            <w:r w:rsidR="00CF2283">
              <w:t>,</w:t>
            </w:r>
            <w:r>
              <w:t xml:space="preserve"> through </w:t>
            </w:r>
            <w:r w:rsidR="00CF2283">
              <w:t>continuing professional development</w:t>
            </w:r>
            <w:r w:rsidR="002A3467">
              <w:t>.</w:t>
            </w:r>
          </w:p>
          <w:p w14:paraId="5E14E494" w14:textId="39F8378D" w:rsidR="00CF2283" w:rsidRDefault="00CA61F8" w:rsidP="00D0475D">
            <w:pPr>
              <w:pStyle w:val="ListParagraph"/>
              <w:numPr>
                <w:ilvl w:val="0"/>
                <w:numId w:val="14"/>
              </w:numPr>
              <w:spacing w:before="120"/>
            </w:pPr>
            <w:r>
              <w:t>Increas</w:t>
            </w:r>
            <w:r w:rsidR="00842731">
              <w:t>ing</w:t>
            </w:r>
            <w:r>
              <w:t xml:space="preserve"> attainment </w:t>
            </w:r>
            <w:r w:rsidR="00D563DE">
              <w:t xml:space="preserve">and progress </w:t>
            </w:r>
            <w:r>
              <w:t>of our disadvantaged pupils</w:t>
            </w:r>
            <w:r w:rsidR="00CA7658">
              <w:t xml:space="preserve"> </w:t>
            </w:r>
            <w:proofErr w:type="gramStart"/>
            <w:r w:rsidR="00CA7658">
              <w:t xml:space="preserve">through </w:t>
            </w:r>
            <w:r w:rsidR="005F6904">
              <w:t>the use of</w:t>
            </w:r>
            <w:proofErr w:type="gramEnd"/>
            <w:r w:rsidR="005F6904">
              <w:t xml:space="preserve"> pupil progress and attainment data to inform the planning of interventions and provisio</w:t>
            </w:r>
            <w:r w:rsidR="00740334">
              <w:t>n (including adult deployment)</w:t>
            </w:r>
          </w:p>
          <w:p w14:paraId="66956729" w14:textId="69B34D15" w:rsidR="00CA61F8" w:rsidRDefault="00B4747D" w:rsidP="00D0475D">
            <w:pPr>
              <w:pStyle w:val="ListParagraph"/>
              <w:numPr>
                <w:ilvl w:val="0"/>
                <w:numId w:val="14"/>
              </w:numPr>
              <w:spacing w:before="120"/>
            </w:pPr>
            <w:r>
              <w:t>Support</w:t>
            </w:r>
            <w:r w:rsidR="00842731">
              <w:t>ing</w:t>
            </w:r>
            <w:r>
              <w:t xml:space="preserve"> our disadvantaged pupils with their social and emotional difficulties</w:t>
            </w:r>
          </w:p>
          <w:p w14:paraId="7054C2C9" w14:textId="40740F83" w:rsidR="00B4747D" w:rsidRDefault="00B4747D" w:rsidP="00D0475D">
            <w:pPr>
              <w:pStyle w:val="ListParagraph"/>
              <w:numPr>
                <w:ilvl w:val="0"/>
                <w:numId w:val="14"/>
              </w:numPr>
              <w:spacing w:before="120"/>
            </w:pPr>
            <w:r>
              <w:t>Improv</w:t>
            </w:r>
            <w:r w:rsidR="00842731">
              <w:t>ing</w:t>
            </w:r>
            <w:r>
              <w:t xml:space="preserve"> rates of attendance </w:t>
            </w:r>
            <w:r w:rsidR="00070F31">
              <w:t>our disadvantaged pupils</w:t>
            </w:r>
          </w:p>
          <w:p w14:paraId="165BA8C3" w14:textId="195F107D" w:rsidR="0062060F" w:rsidRDefault="0062060F" w:rsidP="00D0475D">
            <w:pPr>
              <w:pStyle w:val="ListParagraph"/>
              <w:numPr>
                <w:ilvl w:val="0"/>
                <w:numId w:val="14"/>
              </w:numPr>
              <w:spacing w:before="120"/>
            </w:pPr>
            <w:r>
              <w:t>Remov</w:t>
            </w:r>
            <w:r w:rsidR="00842731">
              <w:t>ing</w:t>
            </w:r>
            <w:r>
              <w:t xml:space="preserve"> barriers to learning created by poverty, family circumstance and background</w:t>
            </w:r>
          </w:p>
          <w:p w14:paraId="2A7D54E9" w14:textId="347F82BA" w:rsidR="00E66558" w:rsidRPr="00244550" w:rsidRDefault="009062FD" w:rsidP="00244550">
            <w:pPr>
              <w:pStyle w:val="ListParagraph"/>
              <w:numPr>
                <w:ilvl w:val="0"/>
                <w:numId w:val="14"/>
              </w:numPr>
              <w:spacing w:before="120"/>
            </w:pPr>
            <w:r>
              <w:t>Accessing a range of opportunities to develop their wider world experiences</w:t>
            </w:r>
          </w:p>
        </w:tc>
      </w:tr>
    </w:tbl>
    <w:p w14:paraId="2A7D54EB" w14:textId="33D530E4"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3A5E4C" w:rsidRDefault="009D71E8" w:rsidP="00B01164">
            <w:pPr>
              <w:pStyle w:val="NoSpacing"/>
            </w:pPr>
            <w:r w:rsidRPr="003A5E4C">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B2687" w14:textId="589CBE9B" w:rsidR="00E66558" w:rsidRPr="00DE0283" w:rsidRDefault="003F306E" w:rsidP="00B01164">
            <w:pPr>
              <w:pStyle w:val="NoSpacing"/>
              <w:rPr>
                <w:b/>
                <w:bCs/>
              </w:rPr>
            </w:pPr>
            <w:r w:rsidRPr="00DE0283">
              <w:rPr>
                <w:b/>
                <w:bCs/>
              </w:rPr>
              <w:t>Language development and communication</w:t>
            </w:r>
          </w:p>
          <w:p w14:paraId="72BE60BF" w14:textId="062C3A4F" w:rsidR="006A1FDF" w:rsidRPr="00DE0283" w:rsidRDefault="006A1FDF" w:rsidP="00B01164">
            <w:pPr>
              <w:pStyle w:val="NoSpacing"/>
            </w:pPr>
            <w:r w:rsidRPr="00DE0283">
              <w:t>Starting points are significant</w:t>
            </w:r>
            <w:r w:rsidR="00AB1E08" w:rsidRPr="00DE0283">
              <w:t xml:space="preserve">ly low on entry to school, and often, pupils display poor language and communication </w:t>
            </w:r>
            <w:r w:rsidR="00082132" w:rsidRPr="00DE0283">
              <w:t>skills.  This can also include limited language acquisition, making it difficult for children to access the curriculum on entry to school.</w:t>
            </w:r>
          </w:p>
          <w:p w14:paraId="2DD7C96F" w14:textId="77777777" w:rsidR="00730B0C" w:rsidRDefault="00B917BB" w:rsidP="00B01164">
            <w:pPr>
              <w:pStyle w:val="NoSpacing"/>
            </w:pPr>
            <w:r w:rsidRPr="00DE0283">
              <w:t>5</w:t>
            </w:r>
            <w:r w:rsidR="00D45D3D" w:rsidRPr="00DE0283">
              <w:t>6</w:t>
            </w:r>
            <w:r w:rsidRPr="00DE0283">
              <w:t xml:space="preserve">% of St Ann’s Well Academy </w:t>
            </w:r>
            <w:r w:rsidR="00227F27" w:rsidRPr="00DE0283">
              <w:t>p</w:t>
            </w:r>
            <w:r w:rsidRPr="00DE0283">
              <w:t>upils are identified as speaking English as an additional language</w:t>
            </w:r>
            <w:r w:rsidR="00227F27" w:rsidRPr="00DE0283">
              <w:t xml:space="preserve">, compared to </w:t>
            </w:r>
            <w:r w:rsidR="00A37A44" w:rsidRPr="00DE0283">
              <w:t>21.4</w:t>
            </w:r>
            <w:r w:rsidR="00227F27" w:rsidRPr="00DE0283">
              <w:t>% nationally.</w:t>
            </w:r>
          </w:p>
          <w:p w14:paraId="625ACA1D" w14:textId="77777777" w:rsidR="00C67D7B" w:rsidRDefault="00C67D7B" w:rsidP="00B01164">
            <w:pPr>
              <w:pStyle w:val="NoSpacing"/>
            </w:pPr>
          </w:p>
          <w:p w14:paraId="75BAC6D4" w14:textId="5E1F457A" w:rsidR="00C67D7B" w:rsidRDefault="00AC5D0C" w:rsidP="00B01164">
            <w:pPr>
              <w:pStyle w:val="NoSpacing"/>
            </w:pPr>
            <w:r>
              <w:t xml:space="preserve">2023 </w:t>
            </w:r>
            <w:r w:rsidR="004E44CE">
              <w:t xml:space="preserve">baseline data </w:t>
            </w:r>
            <w:proofErr w:type="gramStart"/>
            <w:r w:rsidR="004E44CE">
              <w:t>demonstrates</w:t>
            </w:r>
            <w:proofErr w:type="gramEnd"/>
            <w:r w:rsidR="004E44CE">
              <w:t xml:space="preserve"> our</w:t>
            </w:r>
            <w:r w:rsidR="004775BB">
              <w:t xml:space="preserve"> low</w:t>
            </w:r>
            <w:r w:rsidR="004E44CE">
              <w:t xml:space="preserve"> </w:t>
            </w:r>
            <w:r w:rsidR="00F12406">
              <w:t>starting points:</w:t>
            </w:r>
          </w:p>
          <w:p w14:paraId="6F3ED864" w14:textId="77777777" w:rsidR="007D7B85" w:rsidRDefault="007D7B85" w:rsidP="00B01164">
            <w:pPr>
              <w:pStyle w:val="NoSpacing"/>
            </w:pPr>
          </w:p>
          <w:tbl>
            <w:tblPr>
              <w:tblpPr w:leftFromText="180" w:rightFromText="180" w:vertAnchor="text" w:horzAnchor="margin" w:tblpY="-159"/>
              <w:tblOverlap w:val="never"/>
              <w:tblW w:w="5519" w:type="dxa"/>
              <w:tblCellMar>
                <w:left w:w="0" w:type="dxa"/>
                <w:right w:w="0" w:type="dxa"/>
              </w:tblCellMar>
              <w:tblLook w:val="0420" w:firstRow="1" w:lastRow="0" w:firstColumn="0" w:lastColumn="0" w:noHBand="0" w:noVBand="1"/>
            </w:tblPr>
            <w:tblGrid>
              <w:gridCol w:w="557"/>
              <w:gridCol w:w="1560"/>
              <w:gridCol w:w="1842"/>
              <w:gridCol w:w="1560"/>
            </w:tblGrid>
            <w:tr w:rsidR="00157821" w:rsidRPr="007D7B85" w14:paraId="37A0446A" w14:textId="77777777" w:rsidTr="00A30B8C">
              <w:trPr>
                <w:trHeight w:val="310"/>
              </w:trPr>
              <w:tc>
                <w:tcPr>
                  <w:tcW w:w="55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79C72CA" w14:textId="77777777" w:rsidR="00157821" w:rsidRPr="007D7B85" w:rsidRDefault="00157821" w:rsidP="00157821">
                  <w:pPr>
                    <w:pStyle w:val="NoSpacing"/>
                    <w:rPr>
                      <w:sz w:val="16"/>
                      <w:szCs w:val="16"/>
                    </w:rPr>
                  </w:pPr>
                </w:p>
              </w:tc>
              <w:tc>
                <w:tcPr>
                  <w:tcW w:w="156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37EC718C" w14:textId="77777777" w:rsidR="00157821" w:rsidRPr="007D7B85" w:rsidRDefault="00157821" w:rsidP="00157821">
                  <w:pPr>
                    <w:pStyle w:val="NoSpacing"/>
                    <w:rPr>
                      <w:sz w:val="16"/>
                      <w:szCs w:val="16"/>
                    </w:rPr>
                  </w:pPr>
                </w:p>
              </w:tc>
              <w:tc>
                <w:tcPr>
                  <w:tcW w:w="1842"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04CCCA40" w14:textId="77777777" w:rsidR="00157821" w:rsidRPr="007D7B85" w:rsidRDefault="00157821" w:rsidP="00157821">
                  <w:pPr>
                    <w:pStyle w:val="NoSpacing"/>
                    <w:jc w:val="center"/>
                    <w:rPr>
                      <w:sz w:val="16"/>
                      <w:szCs w:val="16"/>
                    </w:rPr>
                  </w:pPr>
                  <w:r w:rsidRPr="007D7B85">
                    <w:rPr>
                      <w:sz w:val="16"/>
                      <w:szCs w:val="16"/>
                    </w:rPr>
                    <w:t>Baseline N2</w:t>
                  </w:r>
                </w:p>
                <w:p w14:paraId="3F77AA2E" w14:textId="77777777" w:rsidR="00157821" w:rsidRPr="007D7B85" w:rsidRDefault="00157821" w:rsidP="00157821">
                  <w:pPr>
                    <w:pStyle w:val="NoSpacing"/>
                    <w:jc w:val="center"/>
                    <w:rPr>
                      <w:sz w:val="16"/>
                      <w:szCs w:val="16"/>
                    </w:rPr>
                  </w:pPr>
                  <w:r w:rsidRPr="007D7B85">
                    <w:rPr>
                      <w:sz w:val="16"/>
                      <w:szCs w:val="16"/>
                    </w:rPr>
                    <w:t>Out of 23</w:t>
                  </w:r>
                </w:p>
              </w:tc>
              <w:tc>
                <w:tcPr>
                  <w:tcW w:w="156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6CC871A3" w14:textId="77777777" w:rsidR="00157821" w:rsidRPr="007D7B85" w:rsidRDefault="00157821" w:rsidP="00157821">
                  <w:pPr>
                    <w:pStyle w:val="NoSpacing"/>
                    <w:jc w:val="center"/>
                    <w:rPr>
                      <w:sz w:val="16"/>
                      <w:szCs w:val="16"/>
                    </w:rPr>
                  </w:pPr>
                  <w:r w:rsidRPr="007D7B85">
                    <w:rPr>
                      <w:sz w:val="16"/>
                      <w:szCs w:val="16"/>
                    </w:rPr>
                    <w:t>End of F2</w:t>
                  </w:r>
                </w:p>
                <w:p w14:paraId="60BC6CA1" w14:textId="77777777" w:rsidR="00157821" w:rsidRPr="007D7B85" w:rsidRDefault="00157821" w:rsidP="00157821">
                  <w:pPr>
                    <w:pStyle w:val="NoSpacing"/>
                    <w:jc w:val="center"/>
                    <w:rPr>
                      <w:sz w:val="16"/>
                      <w:szCs w:val="16"/>
                    </w:rPr>
                  </w:pPr>
                  <w:r w:rsidRPr="007D7B85">
                    <w:rPr>
                      <w:sz w:val="16"/>
                      <w:szCs w:val="16"/>
                    </w:rPr>
                    <w:t>Out of 29</w:t>
                  </w:r>
                </w:p>
              </w:tc>
            </w:tr>
            <w:tr w:rsidR="00157821" w:rsidRPr="007D7B85" w14:paraId="537DB37C" w14:textId="77777777" w:rsidTr="00A30B8C">
              <w:trPr>
                <w:trHeight w:val="310"/>
              </w:trPr>
              <w:tc>
                <w:tcPr>
                  <w:tcW w:w="557" w:type="dxa"/>
                  <w:vMerge w:val="restart"/>
                  <w:tcBorders>
                    <w:top w:val="single" w:sz="8" w:space="0" w:color="000000"/>
                    <w:left w:val="single" w:sz="8" w:space="0" w:color="000000"/>
                    <w:right w:val="single" w:sz="8" w:space="0" w:color="000000"/>
                  </w:tcBorders>
                  <w:shd w:val="clear" w:color="auto" w:fill="D9D9D9" w:themeFill="background1" w:themeFillShade="D9"/>
                  <w:textDirection w:val="btLr"/>
                </w:tcPr>
                <w:p w14:paraId="1A6D6DE0" w14:textId="77777777" w:rsidR="00157821" w:rsidRPr="007D7B85" w:rsidRDefault="00157821" w:rsidP="00157821">
                  <w:pPr>
                    <w:pStyle w:val="NoSpacing"/>
                    <w:ind w:left="113" w:right="113"/>
                    <w:jc w:val="center"/>
                    <w:rPr>
                      <w:sz w:val="16"/>
                      <w:szCs w:val="16"/>
                    </w:rPr>
                  </w:pPr>
                  <w:r>
                    <w:rPr>
                      <w:sz w:val="16"/>
                      <w:szCs w:val="16"/>
                    </w:rPr>
                    <w:t>Literacy</w:t>
                  </w:r>
                </w:p>
              </w:tc>
              <w:tc>
                <w:tcPr>
                  <w:tcW w:w="156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65968868" w14:textId="6F709F6F" w:rsidR="00157821" w:rsidRDefault="00157821" w:rsidP="00A30B8C">
                  <w:pPr>
                    <w:pStyle w:val="NoSpacing"/>
                    <w:jc w:val="center"/>
                    <w:rPr>
                      <w:sz w:val="16"/>
                      <w:szCs w:val="16"/>
                    </w:rPr>
                  </w:pPr>
                  <w:r w:rsidRPr="007D7B85">
                    <w:rPr>
                      <w:sz w:val="16"/>
                      <w:szCs w:val="16"/>
                    </w:rPr>
                    <w:t>Comp</w:t>
                  </w:r>
                  <w:r>
                    <w:rPr>
                      <w:sz w:val="16"/>
                      <w:szCs w:val="16"/>
                    </w:rPr>
                    <w:t>rehension</w:t>
                  </w:r>
                </w:p>
                <w:p w14:paraId="731CFC45" w14:textId="77777777" w:rsidR="00157821" w:rsidRPr="007D7B85" w:rsidRDefault="00157821" w:rsidP="00A30B8C">
                  <w:pPr>
                    <w:pStyle w:val="NoSpacing"/>
                    <w:jc w:val="center"/>
                    <w:rPr>
                      <w:sz w:val="16"/>
                      <w:szCs w:val="16"/>
                    </w:rPr>
                  </w:pP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A06D15D" w14:textId="77777777" w:rsidR="00157821" w:rsidRPr="007D7B85" w:rsidRDefault="00157821" w:rsidP="00157821">
                  <w:pPr>
                    <w:pStyle w:val="NoSpacing"/>
                    <w:jc w:val="center"/>
                    <w:rPr>
                      <w:sz w:val="16"/>
                      <w:szCs w:val="16"/>
                    </w:rPr>
                  </w:pPr>
                  <w:r w:rsidRPr="007D7B85">
                    <w:rPr>
                      <w:sz w:val="16"/>
                      <w:szCs w:val="16"/>
                    </w:rPr>
                    <w:t>9%</w:t>
                  </w:r>
                </w:p>
                <w:p w14:paraId="329A9EA6" w14:textId="77777777" w:rsidR="00157821" w:rsidRPr="007D7B85" w:rsidRDefault="00157821" w:rsidP="00157821">
                  <w:pPr>
                    <w:pStyle w:val="NoSpacing"/>
                    <w:ind w:left="720"/>
                    <w:jc w:val="center"/>
                    <w:rPr>
                      <w:sz w:val="16"/>
                      <w:szCs w:val="16"/>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0C5132E" w14:textId="77777777" w:rsidR="00157821" w:rsidRPr="007D7B85" w:rsidRDefault="00157821" w:rsidP="00157821">
                  <w:pPr>
                    <w:pStyle w:val="NoSpacing"/>
                    <w:jc w:val="center"/>
                    <w:rPr>
                      <w:sz w:val="16"/>
                      <w:szCs w:val="16"/>
                    </w:rPr>
                  </w:pPr>
                  <w:r w:rsidRPr="007D7B85">
                    <w:rPr>
                      <w:sz w:val="16"/>
                      <w:szCs w:val="16"/>
                    </w:rPr>
                    <w:t>64%</w:t>
                  </w:r>
                </w:p>
              </w:tc>
            </w:tr>
            <w:tr w:rsidR="00157821" w:rsidRPr="007D7B85" w14:paraId="7D55A2A6" w14:textId="77777777" w:rsidTr="00A30B8C">
              <w:trPr>
                <w:trHeight w:val="310"/>
              </w:trPr>
              <w:tc>
                <w:tcPr>
                  <w:tcW w:w="557" w:type="dxa"/>
                  <w:vMerge/>
                  <w:tcBorders>
                    <w:left w:val="single" w:sz="8" w:space="0" w:color="000000"/>
                    <w:right w:val="single" w:sz="8" w:space="0" w:color="000000"/>
                  </w:tcBorders>
                  <w:shd w:val="clear" w:color="auto" w:fill="D9D9D9" w:themeFill="background1" w:themeFillShade="D9"/>
                </w:tcPr>
                <w:p w14:paraId="185B8BEB" w14:textId="77777777" w:rsidR="00157821" w:rsidRPr="007D7B85" w:rsidRDefault="00157821" w:rsidP="00157821">
                  <w:pPr>
                    <w:pStyle w:val="NoSpacing"/>
                    <w:jc w:val="center"/>
                    <w:rPr>
                      <w:sz w:val="16"/>
                      <w:szCs w:val="16"/>
                    </w:rPr>
                  </w:pPr>
                </w:p>
              </w:tc>
              <w:tc>
                <w:tcPr>
                  <w:tcW w:w="156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0D9F5D00" w14:textId="77777777" w:rsidR="00157821" w:rsidRDefault="00157821" w:rsidP="00A30B8C">
                  <w:pPr>
                    <w:pStyle w:val="NoSpacing"/>
                    <w:jc w:val="center"/>
                    <w:rPr>
                      <w:sz w:val="16"/>
                      <w:szCs w:val="16"/>
                    </w:rPr>
                  </w:pPr>
                  <w:r w:rsidRPr="007D7B85">
                    <w:rPr>
                      <w:sz w:val="16"/>
                      <w:szCs w:val="16"/>
                    </w:rPr>
                    <w:t>Read</w:t>
                  </w:r>
                </w:p>
                <w:p w14:paraId="0B13711E" w14:textId="77777777" w:rsidR="00157821" w:rsidRPr="007D7B85" w:rsidRDefault="00157821" w:rsidP="00A30B8C">
                  <w:pPr>
                    <w:pStyle w:val="NoSpacing"/>
                    <w:jc w:val="center"/>
                    <w:rPr>
                      <w:sz w:val="16"/>
                      <w:szCs w:val="16"/>
                    </w:rPr>
                  </w:pP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E74EF7" w14:textId="77777777" w:rsidR="007D7B85" w:rsidRPr="007D7B85" w:rsidRDefault="007D7B85" w:rsidP="00157821">
                  <w:pPr>
                    <w:pStyle w:val="NoSpacing"/>
                    <w:jc w:val="center"/>
                    <w:rPr>
                      <w:sz w:val="16"/>
                      <w:szCs w:val="16"/>
                    </w:rPr>
                  </w:pPr>
                  <w:r w:rsidRPr="007D7B85">
                    <w:rPr>
                      <w:sz w:val="16"/>
                      <w:szCs w:val="16"/>
                    </w:rPr>
                    <w:t>4%</w:t>
                  </w:r>
                </w:p>
                <w:p w14:paraId="5BCCFCA5" w14:textId="77777777" w:rsidR="00157821" w:rsidRPr="007D7B85" w:rsidRDefault="00157821" w:rsidP="00157821">
                  <w:pPr>
                    <w:pStyle w:val="NoSpacing"/>
                    <w:ind w:left="720"/>
                    <w:jc w:val="center"/>
                    <w:rPr>
                      <w:sz w:val="16"/>
                      <w:szCs w:val="16"/>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053881" w14:textId="77777777" w:rsidR="00157821" w:rsidRPr="007D7B85" w:rsidRDefault="00157821" w:rsidP="00157821">
                  <w:pPr>
                    <w:pStyle w:val="NoSpacing"/>
                    <w:jc w:val="center"/>
                    <w:rPr>
                      <w:sz w:val="16"/>
                      <w:szCs w:val="16"/>
                    </w:rPr>
                  </w:pPr>
                  <w:r w:rsidRPr="007D7B85">
                    <w:rPr>
                      <w:sz w:val="16"/>
                      <w:szCs w:val="16"/>
                    </w:rPr>
                    <w:t>68%</w:t>
                  </w:r>
                </w:p>
              </w:tc>
            </w:tr>
            <w:tr w:rsidR="00157821" w:rsidRPr="007D7B85" w14:paraId="2E0040CE" w14:textId="77777777" w:rsidTr="00A30B8C">
              <w:trPr>
                <w:trHeight w:val="310"/>
              </w:trPr>
              <w:tc>
                <w:tcPr>
                  <w:tcW w:w="557" w:type="dxa"/>
                  <w:vMerge/>
                  <w:tcBorders>
                    <w:left w:val="single" w:sz="8" w:space="0" w:color="000000"/>
                    <w:bottom w:val="single" w:sz="8" w:space="0" w:color="000000"/>
                    <w:right w:val="single" w:sz="8" w:space="0" w:color="000000"/>
                  </w:tcBorders>
                  <w:shd w:val="clear" w:color="auto" w:fill="D9D9D9" w:themeFill="background1" w:themeFillShade="D9"/>
                </w:tcPr>
                <w:p w14:paraId="594DA8D3" w14:textId="77777777" w:rsidR="00157821" w:rsidRPr="007D7B85" w:rsidRDefault="00157821" w:rsidP="00157821">
                  <w:pPr>
                    <w:pStyle w:val="NoSpacing"/>
                    <w:jc w:val="center"/>
                    <w:rPr>
                      <w:sz w:val="16"/>
                      <w:szCs w:val="16"/>
                    </w:rPr>
                  </w:pPr>
                </w:p>
              </w:tc>
              <w:tc>
                <w:tcPr>
                  <w:tcW w:w="156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13527D7F" w14:textId="77777777" w:rsidR="00157821" w:rsidRPr="007D7B85" w:rsidRDefault="00157821" w:rsidP="00A30B8C">
                  <w:pPr>
                    <w:pStyle w:val="NoSpacing"/>
                    <w:jc w:val="center"/>
                    <w:rPr>
                      <w:sz w:val="16"/>
                      <w:szCs w:val="16"/>
                    </w:rPr>
                  </w:pPr>
                  <w:r w:rsidRPr="007D7B85">
                    <w:rPr>
                      <w:sz w:val="16"/>
                      <w:szCs w:val="16"/>
                    </w:rPr>
                    <w:t>Write</w:t>
                  </w: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EA5389E" w14:textId="77777777" w:rsidR="00157821" w:rsidRPr="007D7B85" w:rsidRDefault="00157821" w:rsidP="00157821">
                  <w:pPr>
                    <w:pStyle w:val="NoSpacing"/>
                    <w:jc w:val="center"/>
                    <w:rPr>
                      <w:sz w:val="16"/>
                      <w:szCs w:val="16"/>
                    </w:rPr>
                  </w:pPr>
                  <w:r w:rsidRPr="007D7B85">
                    <w:rPr>
                      <w:sz w:val="16"/>
                      <w:szCs w:val="16"/>
                    </w:rPr>
                    <w:t>13%</w:t>
                  </w:r>
                </w:p>
                <w:p w14:paraId="0379EA2E" w14:textId="77777777" w:rsidR="00157821" w:rsidRPr="007D7B85" w:rsidRDefault="00157821" w:rsidP="00157821">
                  <w:pPr>
                    <w:pStyle w:val="NoSpacing"/>
                    <w:ind w:left="720"/>
                    <w:jc w:val="center"/>
                    <w:rPr>
                      <w:sz w:val="16"/>
                      <w:szCs w:val="16"/>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719A5F3" w14:textId="77777777" w:rsidR="00157821" w:rsidRPr="007D7B85" w:rsidRDefault="00157821" w:rsidP="00157821">
                  <w:pPr>
                    <w:pStyle w:val="NoSpacing"/>
                    <w:jc w:val="center"/>
                    <w:rPr>
                      <w:sz w:val="16"/>
                      <w:szCs w:val="16"/>
                    </w:rPr>
                  </w:pPr>
                  <w:r w:rsidRPr="007D7B85">
                    <w:rPr>
                      <w:sz w:val="16"/>
                      <w:szCs w:val="16"/>
                    </w:rPr>
                    <w:t>68%</w:t>
                  </w:r>
                </w:p>
              </w:tc>
            </w:tr>
            <w:tr w:rsidR="00157821" w:rsidRPr="007D7B85" w14:paraId="1EA1F32E" w14:textId="77777777" w:rsidTr="00A30B8C">
              <w:trPr>
                <w:trHeight w:val="310"/>
              </w:trPr>
              <w:tc>
                <w:tcPr>
                  <w:tcW w:w="557" w:type="dxa"/>
                  <w:vMerge w:val="restart"/>
                  <w:tcBorders>
                    <w:top w:val="single" w:sz="8" w:space="0" w:color="000000"/>
                    <w:left w:val="single" w:sz="8" w:space="0" w:color="000000"/>
                    <w:right w:val="single" w:sz="8" w:space="0" w:color="000000"/>
                  </w:tcBorders>
                  <w:shd w:val="clear" w:color="auto" w:fill="D9D9D9" w:themeFill="background1" w:themeFillShade="D9"/>
                  <w:textDirection w:val="btLr"/>
                </w:tcPr>
                <w:p w14:paraId="5AC2FD78" w14:textId="77777777" w:rsidR="00157821" w:rsidRPr="00157821" w:rsidRDefault="00157821" w:rsidP="00157821">
                  <w:pPr>
                    <w:pStyle w:val="NoSpacing"/>
                    <w:ind w:left="113" w:right="113"/>
                    <w:jc w:val="center"/>
                    <w:rPr>
                      <w:sz w:val="14"/>
                      <w:szCs w:val="14"/>
                    </w:rPr>
                  </w:pPr>
                  <w:r w:rsidRPr="00157821">
                    <w:rPr>
                      <w:sz w:val="14"/>
                      <w:szCs w:val="14"/>
                    </w:rPr>
                    <w:t>Communication and Language</w:t>
                  </w:r>
                </w:p>
              </w:tc>
              <w:tc>
                <w:tcPr>
                  <w:tcW w:w="156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2276C9EF" w14:textId="77777777" w:rsidR="00157821" w:rsidRDefault="00157821" w:rsidP="00A30B8C">
                  <w:pPr>
                    <w:pStyle w:val="NoSpacing"/>
                    <w:jc w:val="center"/>
                    <w:rPr>
                      <w:sz w:val="16"/>
                      <w:szCs w:val="16"/>
                    </w:rPr>
                  </w:pPr>
                  <w:r w:rsidRPr="007D7B85">
                    <w:rPr>
                      <w:sz w:val="16"/>
                      <w:szCs w:val="16"/>
                    </w:rPr>
                    <w:t>Speaking</w:t>
                  </w:r>
                </w:p>
                <w:p w14:paraId="49006F7B" w14:textId="77777777" w:rsidR="00A30B8C" w:rsidRDefault="00A30B8C" w:rsidP="00A30B8C">
                  <w:pPr>
                    <w:pStyle w:val="NoSpacing"/>
                    <w:jc w:val="center"/>
                    <w:rPr>
                      <w:sz w:val="16"/>
                      <w:szCs w:val="16"/>
                    </w:rPr>
                  </w:pPr>
                </w:p>
                <w:p w14:paraId="0EFC6F68" w14:textId="77777777" w:rsidR="00A30B8C" w:rsidRDefault="00A30B8C" w:rsidP="00A30B8C">
                  <w:pPr>
                    <w:pStyle w:val="NoSpacing"/>
                    <w:jc w:val="center"/>
                    <w:rPr>
                      <w:sz w:val="16"/>
                      <w:szCs w:val="16"/>
                    </w:rPr>
                  </w:pPr>
                </w:p>
                <w:p w14:paraId="0582CE3F" w14:textId="77777777" w:rsidR="00157821" w:rsidRPr="007D7B85" w:rsidRDefault="00157821" w:rsidP="00A30B8C">
                  <w:pPr>
                    <w:pStyle w:val="NoSpacing"/>
                    <w:jc w:val="center"/>
                    <w:rPr>
                      <w:sz w:val="16"/>
                      <w:szCs w:val="16"/>
                    </w:rPr>
                  </w:pP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62EFEB6" w14:textId="77777777" w:rsidR="00157821" w:rsidRDefault="00157821" w:rsidP="00157821">
                  <w:pPr>
                    <w:pStyle w:val="NoSpacing"/>
                    <w:jc w:val="center"/>
                    <w:rPr>
                      <w:sz w:val="16"/>
                      <w:szCs w:val="16"/>
                    </w:rPr>
                  </w:pPr>
                  <w:r w:rsidRPr="007D7B85">
                    <w:rPr>
                      <w:sz w:val="16"/>
                      <w:szCs w:val="16"/>
                    </w:rPr>
                    <w:t>35%</w:t>
                  </w:r>
                </w:p>
                <w:p w14:paraId="53EE4BF5" w14:textId="77777777" w:rsidR="00157821" w:rsidRPr="007D7B85" w:rsidRDefault="00157821" w:rsidP="00157821">
                  <w:pPr>
                    <w:pStyle w:val="NoSpacing"/>
                    <w:jc w:val="center"/>
                    <w:rPr>
                      <w:sz w:val="16"/>
                      <w:szCs w:val="16"/>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7E4C68C" w14:textId="77777777" w:rsidR="00157821" w:rsidRPr="007D7B85" w:rsidRDefault="00157821" w:rsidP="00157821">
                  <w:pPr>
                    <w:pStyle w:val="NoSpacing"/>
                    <w:jc w:val="center"/>
                    <w:rPr>
                      <w:sz w:val="16"/>
                      <w:szCs w:val="16"/>
                    </w:rPr>
                  </w:pPr>
                  <w:r w:rsidRPr="007D7B85">
                    <w:rPr>
                      <w:sz w:val="16"/>
                      <w:szCs w:val="16"/>
                    </w:rPr>
                    <w:t>68%</w:t>
                  </w:r>
                </w:p>
              </w:tc>
            </w:tr>
            <w:tr w:rsidR="00157821" w:rsidRPr="007D7B85" w14:paraId="050DA58D" w14:textId="77777777" w:rsidTr="00A30B8C">
              <w:trPr>
                <w:trHeight w:val="310"/>
              </w:trPr>
              <w:tc>
                <w:tcPr>
                  <w:tcW w:w="557" w:type="dxa"/>
                  <w:vMerge/>
                  <w:tcBorders>
                    <w:left w:val="single" w:sz="8" w:space="0" w:color="000000"/>
                    <w:bottom w:val="single" w:sz="8" w:space="0" w:color="000000"/>
                    <w:right w:val="single" w:sz="8" w:space="0" w:color="000000"/>
                  </w:tcBorders>
                  <w:shd w:val="clear" w:color="auto" w:fill="D9D9D9" w:themeFill="background1" w:themeFillShade="D9"/>
                </w:tcPr>
                <w:p w14:paraId="45FAEB2D" w14:textId="77777777" w:rsidR="00157821" w:rsidRPr="007D7B85" w:rsidRDefault="00157821" w:rsidP="00157821">
                  <w:pPr>
                    <w:pStyle w:val="NoSpacing"/>
                    <w:rPr>
                      <w:sz w:val="16"/>
                      <w:szCs w:val="16"/>
                    </w:rPr>
                  </w:pPr>
                </w:p>
              </w:tc>
              <w:tc>
                <w:tcPr>
                  <w:tcW w:w="156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72" w:type="dxa"/>
                    <w:left w:w="144" w:type="dxa"/>
                    <w:bottom w:w="72" w:type="dxa"/>
                    <w:right w:w="144" w:type="dxa"/>
                  </w:tcMar>
                  <w:hideMark/>
                </w:tcPr>
                <w:p w14:paraId="6935526B" w14:textId="77777777" w:rsidR="00157821" w:rsidRDefault="00157821" w:rsidP="00A30B8C">
                  <w:pPr>
                    <w:pStyle w:val="NoSpacing"/>
                    <w:jc w:val="center"/>
                    <w:rPr>
                      <w:sz w:val="16"/>
                      <w:szCs w:val="16"/>
                    </w:rPr>
                  </w:pPr>
                  <w:r w:rsidRPr="007D7B85">
                    <w:rPr>
                      <w:sz w:val="16"/>
                      <w:szCs w:val="16"/>
                    </w:rPr>
                    <w:t>Listening and attention</w:t>
                  </w:r>
                </w:p>
                <w:p w14:paraId="1A9E5E8C" w14:textId="77777777" w:rsidR="00A30B8C" w:rsidRDefault="00A30B8C" w:rsidP="00A30B8C">
                  <w:pPr>
                    <w:pStyle w:val="NoSpacing"/>
                    <w:jc w:val="center"/>
                    <w:rPr>
                      <w:sz w:val="16"/>
                      <w:szCs w:val="16"/>
                    </w:rPr>
                  </w:pPr>
                </w:p>
                <w:p w14:paraId="6C435DC1" w14:textId="77777777" w:rsidR="00A30B8C" w:rsidRDefault="00A30B8C" w:rsidP="00A30B8C">
                  <w:pPr>
                    <w:pStyle w:val="NoSpacing"/>
                    <w:jc w:val="center"/>
                    <w:rPr>
                      <w:sz w:val="16"/>
                      <w:szCs w:val="16"/>
                    </w:rPr>
                  </w:pPr>
                </w:p>
                <w:p w14:paraId="461CF16B" w14:textId="77777777" w:rsidR="00157821" w:rsidRPr="007D7B85" w:rsidRDefault="00157821" w:rsidP="00A30B8C">
                  <w:pPr>
                    <w:pStyle w:val="NoSpacing"/>
                    <w:jc w:val="center"/>
                    <w:rPr>
                      <w:sz w:val="16"/>
                      <w:szCs w:val="16"/>
                    </w:rPr>
                  </w:pPr>
                </w:p>
              </w:tc>
              <w:tc>
                <w:tcPr>
                  <w:tcW w:w="184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F666811" w14:textId="77777777" w:rsidR="00157821" w:rsidRPr="007D7B85" w:rsidRDefault="00157821" w:rsidP="00157821">
                  <w:pPr>
                    <w:pStyle w:val="NoSpacing"/>
                    <w:jc w:val="center"/>
                    <w:rPr>
                      <w:sz w:val="16"/>
                      <w:szCs w:val="16"/>
                    </w:rPr>
                  </w:pPr>
                  <w:r w:rsidRPr="007D7B85">
                    <w:rPr>
                      <w:sz w:val="16"/>
                      <w:szCs w:val="16"/>
                    </w:rPr>
                    <w:t>35%</w:t>
                  </w:r>
                </w:p>
                <w:p w14:paraId="76B337FA" w14:textId="77777777" w:rsidR="00157821" w:rsidRPr="007D7B85" w:rsidRDefault="00157821" w:rsidP="00157821">
                  <w:pPr>
                    <w:pStyle w:val="NoSpacing"/>
                    <w:jc w:val="center"/>
                    <w:rPr>
                      <w:sz w:val="16"/>
                      <w:szCs w:val="16"/>
                    </w:rPr>
                  </w:pP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4776FEC" w14:textId="77777777" w:rsidR="00157821" w:rsidRPr="007D7B85" w:rsidRDefault="00157821" w:rsidP="00157821">
                  <w:pPr>
                    <w:pStyle w:val="NoSpacing"/>
                    <w:jc w:val="center"/>
                    <w:rPr>
                      <w:sz w:val="16"/>
                      <w:szCs w:val="16"/>
                    </w:rPr>
                  </w:pPr>
                  <w:r w:rsidRPr="007D7B85">
                    <w:rPr>
                      <w:sz w:val="16"/>
                      <w:szCs w:val="16"/>
                    </w:rPr>
                    <w:t>73%</w:t>
                  </w:r>
                </w:p>
              </w:tc>
            </w:tr>
          </w:tbl>
          <w:p w14:paraId="0C6425B2" w14:textId="77777777" w:rsidR="00157821" w:rsidRDefault="00157821" w:rsidP="00B01164">
            <w:pPr>
              <w:pStyle w:val="NoSpacing"/>
            </w:pPr>
          </w:p>
          <w:p w14:paraId="2BCC6A4D" w14:textId="77777777" w:rsidR="00157821" w:rsidRDefault="00157821" w:rsidP="00B01164">
            <w:pPr>
              <w:pStyle w:val="NoSpacing"/>
            </w:pPr>
          </w:p>
          <w:p w14:paraId="72001653" w14:textId="77777777" w:rsidR="00157821" w:rsidRDefault="00157821" w:rsidP="00B01164">
            <w:pPr>
              <w:pStyle w:val="NoSpacing"/>
            </w:pPr>
          </w:p>
          <w:p w14:paraId="323119E2" w14:textId="77777777" w:rsidR="00157821" w:rsidRDefault="00157821" w:rsidP="00B01164">
            <w:pPr>
              <w:pStyle w:val="NoSpacing"/>
            </w:pPr>
          </w:p>
          <w:p w14:paraId="3524DB76" w14:textId="77777777" w:rsidR="00157821" w:rsidRDefault="00157821" w:rsidP="00B01164">
            <w:pPr>
              <w:pStyle w:val="NoSpacing"/>
            </w:pPr>
          </w:p>
          <w:p w14:paraId="5261A8AD" w14:textId="77777777" w:rsidR="00157821" w:rsidRDefault="00157821" w:rsidP="00B01164">
            <w:pPr>
              <w:pStyle w:val="NoSpacing"/>
            </w:pPr>
          </w:p>
          <w:p w14:paraId="589B3004" w14:textId="77777777" w:rsidR="00157821" w:rsidRDefault="00157821" w:rsidP="00B01164">
            <w:pPr>
              <w:pStyle w:val="NoSpacing"/>
            </w:pPr>
          </w:p>
          <w:p w14:paraId="622A67DB" w14:textId="77777777" w:rsidR="00157821" w:rsidRDefault="00157821" w:rsidP="00B01164">
            <w:pPr>
              <w:pStyle w:val="NoSpacing"/>
            </w:pPr>
          </w:p>
          <w:p w14:paraId="7FDD9105" w14:textId="77777777" w:rsidR="00157821" w:rsidRDefault="00157821" w:rsidP="00B01164">
            <w:pPr>
              <w:pStyle w:val="NoSpacing"/>
            </w:pPr>
          </w:p>
          <w:p w14:paraId="16137DEF" w14:textId="77777777" w:rsidR="00157821" w:rsidRDefault="00157821" w:rsidP="00B01164">
            <w:pPr>
              <w:pStyle w:val="NoSpacing"/>
            </w:pPr>
          </w:p>
          <w:p w14:paraId="2A7D54F1" w14:textId="1A0FD6DC" w:rsidR="00906408" w:rsidRPr="00DE0283" w:rsidRDefault="00906408" w:rsidP="00B01164">
            <w:pPr>
              <w:pStyle w:val="NoSpacing"/>
            </w:pP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733D2D" w:rsidRDefault="009D71E8" w:rsidP="00B01164">
            <w:pPr>
              <w:pStyle w:val="NoSpacing"/>
            </w:pPr>
            <w:r w:rsidRPr="00733D2D">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61383" w14:textId="2F783881" w:rsidR="00E66558" w:rsidRPr="000F04DA" w:rsidRDefault="001D1E18" w:rsidP="00B01164">
            <w:pPr>
              <w:pStyle w:val="NoSpacing"/>
              <w:rPr>
                <w:b/>
                <w:bCs/>
              </w:rPr>
            </w:pPr>
            <w:r w:rsidRPr="000F04DA">
              <w:rPr>
                <w:b/>
                <w:bCs/>
              </w:rPr>
              <w:t>Attainment</w:t>
            </w:r>
          </w:p>
          <w:p w14:paraId="6D819959" w14:textId="219FFE3F" w:rsidR="004330B9" w:rsidRPr="000F04DA" w:rsidRDefault="004330B9" w:rsidP="00B01164">
            <w:pPr>
              <w:pStyle w:val="NoSpacing"/>
            </w:pPr>
            <w:r w:rsidRPr="000F04DA">
              <w:t xml:space="preserve">Pupils </w:t>
            </w:r>
            <w:r w:rsidR="001E0F5C" w:rsidRPr="000F04DA">
              <w:t>enter St Ann’s Well Academy well below the national average.</w:t>
            </w:r>
            <w:r w:rsidR="00D636FB" w:rsidRPr="000F04DA">
              <w:t xml:space="preserve">  Year on year, the </w:t>
            </w:r>
            <w:proofErr w:type="gramStart"/>
            <w:r w:rsidR="00D636FB" w:rsidRPr="000F04DA">
              <w:t>school works</w:t>
            </w:r>
            <w:proofErr w:type="gramEnd"/>
            <w:r w:rsidR="00D636FB" w:rsidRPr="000F04DA">
              <w:t xml:space="preserve"> to close </w:t>
            </w:r>
            <w:r w:rsidR="003F2A97" w:rsidRPr="000F04DA">
              <w:t xml:space="preserve">specific </w:t>
            </w:r>
            <w:r w:rsidR="00D636FB" w:rsidRPr="000F04DA">
              <w:t xml:space="preserve">gaps </w:t>
            </w:r>
            <w:r w:rsidR="007726FC" w:rsidRPr="000F04DA">
              <w:t xml:space="preserve">in reading, writing and maths in the different cohorts.  </w:t>
            </w:r>
            <w:r w:rsidR="00581FE3" w:rsidRPr="000F04DA">
              <w:t>The school’s relentless pursuit of quality first teaching</w:t>
            </w:r>
            <w:r w:rsidR="00B81C43" w:rsidRPr="000F04DA">
              <w:t xml:space="preserve">, adaptive teaching and learning and effective use of adults work to </w:t>
            </w:r>
            <w:r w:rsidR="007306E8" w:rsidRPr="000F04DA">
              <w:t>close t</w:t>
            </w:r>
            <w:r w:rsidR="00352C31" w:rsidRPr="000F04DA">
              <w:t>he gap</w:t>
            </w:r>
            <w:r w:rsidR="00F6104C" w:rsidRPr="000F04DA">
              <w:t>s</w:t>
            </w:r>
            <w:r w:rsidR="00352C31" w:rsidRPr="000F04DA">
              <w:t>.  The school needs to continue this pursuit and look to close the gap of</w:t>
            </w:r>
            <w:r w:rsidR="00BE5583" w:rsidRPr="000F04DA">
              <w:t xml:space="preserve"> those attaining </w:t>
            </w:r>
            <w:r w:rsidR="00F6104C" w:rsidRPr="000F04DA">
              <w:t xml:space="preserve">age related expectations </w:t>
            </w:r>
            <w:r w:rsidR="009233C0" w:rsidRPr="000F04DA">
              <w:t>by the end of Key Stage 2.</w:t>
            </w:r>
          </w:p>
          <w:p w14:paraId="775C6347" w14:textId="64028C48" w:rsidR="00374B24" w:rsidRPr="000F04DA" w:rsidRDefault="00374B24" w:rsidP="00B01164">
            <w:pPr>
              <w:pStyle w:val="NoSpacing"/>
            </w:pPr>
            <w:r w:rsidRPr="000F04DA">
              <w:t>3</w:t>
            </w:r>
            <w:r w:rsidR="004C55E9" w:rsidRPr="000F04DA">
              <w:t>1</w:t>
            </w:r>
            <w:r w:rsidRPr="000F04DA">
              <w:t xml:space="preserve">% of our pupil </w:t>
            </w:r>
            <w:r w:rsidR="001B3B05" w:rsidRPr="000F04DA">
              <w:t>premium</w:t>
            </w:r>
            <w:r w:rsidRPr="000F04DA">
              <w:t xml:space="preserve"> pupils are on the SEND register.  Low attainment </w:t>
            </w:r>
            <w:r w:rsidR="00A30D30" w:rsidRPr="000F04DA">
              <w:t xml:space="preserve">and slow progress rates can be made by pupil premium children who also have SEND.  Children can have gaps and misconceptions </w:t>
            </w:r>
            <w:r w:rsidR="001B3B05" w:rsidRPr="000F04DA">
              <w:t>resulting in them finding it difficult to retain / recall prior knowledge.</w:t>
            </w:r>
          </w:p>
          <w:p w14:paraId="2A7D54F4" w14:textId="61DE9B69" w:rsidR="003C11AE" w:rsidRPr="000F04DA" w:rsidRDefault="00916906" w:rsidP="00B01164">
            <w:pPr>
              <w:pStyle w:val="NoSpacing"/>
            </w:pPr>
            <w:r w:rsidRPr="000F04DA">
              <w:t>Low</w:t>
            </w:r>
            <w:r w:rsidR="00741BB2" w:rsidRPr="000F04DA">
              <w:t xml:space="preserve">er attainment gained by pupil premium pupils </w:t>
            </w:r>
            <w:r w:rsidR="00DA39E3" w:rsidRPr="000F04DA">
              <w:t xml:space="preserve">across </w:t>
            </w:r>
            <w:r w:rsidR="004C1DD7" w:rsidRPr="000F04DA">
              <w:t>the years in differing subject areas.</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733D2D" w:rsidRDefault="009D71E8" w:rsidP="00B01164">
            <w:pPr>
              <w:pStyle w:val="NoSpacing"/>
            </w:pPr>
            <w:r w:rsidRPr="00733D2D">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3CC1B" w14:textId="77777777" w:rsidR="00E66558" w:rsidRPr="00721515" w:rsidRDefault="00715906" w:rsidP="00B01164">
            <w:pPr>
              <w:pStyle w:val="NoSpacing"/>
              <w:rPr>
                <w:b/>
                <w:bCs/>
              </w:rPr>
            </w:pPr>
            <w:r w:rsidRPr="00721515">
              <w:rPr>
                <w:b/>
                <w:bCs/>
              </w:rPr>
              <w:t xml:space="preserve">Attendance and </w:t>
            </w:r>
            <w:r w:rsidR="00200164" w:rsidRPr="00721515">
              <w:rPr>
                <w:b/>
                <w:bCs/>
              </w:rPr>
              <w:t>punctuality</w:t>
            </w:r>
          </w:p>
          <w:p w14:paraId="2A7D54F7" w14:textId="76160DF9" w:rsidR="00200164" w:rsidRPr="00733D2D" w:rsidRDefault="00F82732" w:rsidP="00B01164">
            <w:pPr>
              <w:pStyle w:val="NoSpacing"/>
            </w:pPr>
            <w:r>
              <w:t xml:space="preserve">There is a current gap between pupil premium and </w:t>
            </w:r>
            <w:r w:rsidR="005279F5">
              <w:t>non-pupil</w:t>
            </w:r>
            <w:r>
              <w:t xml:space="preserve"> premium pupils for absence and </w:t>
            </w:r>
            <w:r w:rsidR="005279F5">
              <w:t>persistent absence.</w:t>
            </w:r>
            <w:r w:rsidR="00B80873">
              <w:t xml:space="preserve">  Non-pupil premium</w:t>
            </w:r>
            <w:r w:rsidR="00F44FA6">
              <w:t xml:space="preserve"> </w:t>
            </w:r>
            <w:proofErr w:type="gramStart"/>
            <w:r w:rsidR="000B1C01">
              <w:t>pupils</w:t>
            </w:r>
            <w:proofErr w:type="gramEnd"/>
            <w:r w:rsidR="009D23D3">
              <w:t xml:space="preserve"> </w:t>
            </w:r>
            <w:r w:rsidR="00AC6A85">
              <w:t xml:space="preserve">attendance is </w:t>
            </w:r>
            <w:r w:rsidR="006478FE">
              <w:t>1.5</w:t>
            </w:r>
            <w:r w:rsidR="00AC6A85">
              <w:t>% above pupil premium</w:t>
            </w:r>
            <w:r w:rsidR="00017B7D">
              <w:t xml:space="preserve"> attendance</w:t>
            </w:r>
            <w:r w:rsidR="00E434CA">
              <w:t xml:space="preserve"> which is also below national average</w:t>
            </w:r>
            <w:r w:rsidR="00017B7D">
              <w:t>.</w:t>
            </w:r>
            <w:r w:rsidR="00F56CF2">
              <w:t xml:space="preserve">  </w:t>
            </w:r>
            <w:r w:rsidR="008D46AE">
              <w:t>The percentage for persistent absence is much higher within pupil premium pupils than non-pupil premium pupils.</w:t>
            </w:r>
            <w:r w:rsidR="009D45EA">
              <w:t xml:space="preserve"> </w:t>
            </w:r>
          </w:p>
        </w:tc>
      </w:tr>
      <w:tr w:rsidR="00A8506E" w14:paraId="69CAECE6"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3EDB" w14:textId="28EF1856" w:rsidR="00A8506E" w:rsidRPr="00733D2D" w:rsidRDefault="00A8506E" w:rsidP="00B01164">
            <w:pPr>
              <w:pStyle w:val="NoSpacing"/>
            </w:pPr>
            <w: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CB3C4" w14:textId="77777777" w:rsidR="00A8506E" w:rsidRPr="00051532" w:rsidRDefault="006D795E" w:rsidP="00B01164">
            <w:pPr>
              <w:pStyle w:val="NoSpacing"/>
              <w:rPr>
                <w:b/>
                <w:bCs/>
              </w:rPr>
            </w:pPr>
            <w:r w:rsidRPr="00051532">
              <w:rPr>
                <w:b/>
                <w:bCs/>
              </w:rPr>
              <w:t>Mental Health and Wellbeing</w:t>
            </w:r>
          </w:p>
          <w:p w14:paraId="16522E67" w14:textId="30C099F1" w:rsidR="00F1608D" w:rsidRPr="00051532" w:rsidRDefault="00F1532E" w:rsidP="00B01164">
            <w:pPr>
              <w:pStyle w:val="NoSpacing"/>
            </w:pPr>
            <w:r w:rsidRPr="00051532">
              <w:t xml:space="preserve">The </w:t>
            </w:r>
            <w:r w:rsidR="001C62A1" w:rsidRPr="00051532">
              <w:t>i</w:t>
            </w:r>
            <w:r w:rsidR="007C41A9" w:rsidRPr="00051532">
              <w:t xml:space="preserve">mpact of </w:t>
            </w:r>
            <w:r w:rsidR="0071064F" w:rsidRPr="00051532">
              <w:t>the</w:t>
            </w:r>
            <w:r w:rsidR="007C41A9" w:rsidRPr="00051532">
              <w:t xml:space="preserve"> </w:t>
            </w:r>
            <w:r w:rsidR="00166EE2" w:rsidRPr="00051532">
              <w:t>cost-of-living</w:t>
            </w:r>
            <w:r w:rsidR="007C41A9" w:rsidRPr="00051532">
              <w:t xml:space="preserve"> crisis has led to an increased need </w:t>
            </w:r>
            <w:r w:rsidR="00F1608D" w:rsidRPr="00051532">
              <w:t>for</w:t>
            </w:r>
            <w:r w:rsidR="007C41A9" w:rsidRPr="00051532">
              <w:t xml:space="preserve"> </w:t>
            </w:r>
            <w:r w:rsidR="009D7575" w:rsidRPr="00051532">
              <w:t>mental health and wellbeing support across school.  The impact on our families is becoming more and more evident.</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3C7EF222" w:rsidR="00E66558" w:rsidRPr="00733D2D" w:rsidRDefault="00877AEB" w:rsidP="00B01164">
            <w:pPr>
              <w:pStyle w:val="NoSpacing"/>
            </w:pPr>
            <w: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469EE" w14:textId="77777777" w:rsidR="00E66558" w:rsidRPr="00051532" w:rsidRDefault="00CF0CB9" w:rsidP="00B01164">
            <w:pPr>
              <w:pStyle w:val="NoSpacing"/>
              <w:rPr>
                <w:b/>
                <w:bCs/>
                <w:iCs/>
              </w:rPr>
            </w:pPr>
            <w:r w:rsidRPr="00051532">
              <w:rPr>
                <w:b/>
                <w:bCs/>
                <w:iCs/>
              </w:rPr>
              <w:t>E</w:t>
            </w:r>
            <w:r w:rsidR="00843A61" w:rsidRPr="00051532">
              <w:rPr>
                <w:b/>
                <w:bCs/>
                <w:iCs/>
              </w:rPr>
              <w:t>nrich</w:t>
            </w:r>
            <w:r w:rsidRPr="00051532">
              <w:rPr>
                <w:b/>
                <w:bCs/>
                <w:iCs/>
              </w:rPr>
              <w:t>ment, life experiences and aspirations</w:t>
            </w:r>
          </w:p>
          <w:p w14:paraId="2A7D54FA" w14:textId="6066425E" w:rsidR="00CF0CB9" w:rsidRPr="00051532" w:rsidRDefault="008454A4" w:rsidP="00B01164">
            <w:pPr>
              <w:pStyle w:val="NoSpacing"/>
              <w:rPr>
                <w:iCs/>
              </w:rPr>
            </w:pPr>
            <w:r w:rsidRPr="00051532">
              <w:rPr>
                <w:iCs/>
              </w:rPr>
              <w:t xml:space="preserve">Pupils have limited experiences outside of school and their immediate community.  Parents often have not continued in further education </w:t>
            </w:r>
            <w:r w:rsidR="00762A34" w:rsidRPr="00051532">
              <w:rPr>
                <w:iCs/>
              </w:rPr>
              <w:t>and many families have limited finances to support their children to experience enrichment opportunities</w:t>
            </w:r>
            <w:r w:rsidR="000B46B9" w:rsidRPr="00051532">
              <w:rPr>
                <w:iCs/>
              </w:rPr>
              <w:t xml:space="preserve">.  This </w:t>
            </w:r>
            <w:r w:rsidR="00A27764" w:rsidRPr="00051532">
              <w:rPr>
                <w:iCs/>
              </w:rPr>
              <w:t xml:space="preserve">has been exasperated by the </w:t>
            </w:r>
            <w:r w:rsidR="00721515" w:rsidRPr="00051532">
              <w:rPr>
                <w:iCs/>
              </w:rPr>
              <w:t>cost-of-living</w:t>
            </w:r>
            <w:r w:rsidR="00A27764" w:rsidRPr="00051532">
              <w:rPr>
                <w:iCs/>
              </w:rPr>
              <w:t xml:space="preserve"> crisis.</w:t>
            </w:r>
          </w:p>
        </w:tc>
      </w:tr>
      <w:tr w:rsidR="00C77620" w14:paraId="326862E0"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FDE51" w14:textId="69A5EA3D" w:rsidR="00C77620" w:rsidRDefault="00C77620" w:rsidP="00B01164">
            <w:pPr>
              <w:pStyle w:val="NoSpacing"/>
            </w:pPr>
            <w: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637D9" w14:textId="77777777" w:rsidR="00C77620" w:rsidRPr="00051532" w:rsidRDefault="00BD6366" w:rsidP="00B01164">
            <w:pPr>
              <w:pStyle w:val="NoSpacing"/>
              <w:rPr>
                <w:b/>
                <w:bCs/>
                <w:iCs/>
              </w:rPr>
            </w:pPr>
            <w:r w:rsidRPr="00051532">
              <w:rPr>
                <w:b/>
                <w:bCs/>
                <w:iCs/>
              </w:rPr>
              <w:t>Increased level of SEND</w:t>
            </w:r>
          </w:p>
          <w:p w14:paraId="010F3647" w14:textId="4AD789C9" w:rsidR="00BD6366" w:rsidRPr="00051532" w:rsidRDefault="00BD6366" w:rsidP="00B01164">
            <w:pPr>
              <w:pStyle w:val="NoSpacing"/>
              <w:rPr>
                <w:iCs/>
              </w:rPr>
            </w:pPr>
            <w:r w:rsidRPr="00051532">
              <w:rPr>
                <w:iCs/>
              </w:rPr>
              <w:t xml:space="preserve">The school has increasing numbers of children who have special </w:t>
            </w:r>
            <w:r w:rsidR="00184CC5" w:rsidRPr="00051532">
              <w:rPr>
                <w:iCs/>
              </w:rPr>
              <w:t xml:space="preserve">educational needs.  </w:t>
            </w:r>
            <w:r w:rsidR="00405B82" w:rsidRPr="00051532">
              <w:rPr>
                <w:iCs/>
              </w:rPr>
              <w:t xml:space="preserve">Complex requirements, including </w:t>
            </w:r>
            <w:r w:rsidR="002330F1" w:rsidRPr="00051532">
              <w:rPr>
                <w:iCs/>
              </w:rPr>
              <w:t xml:space="preserve">having an additional special need or emotional </w:t>
            </w:r>
            <w:r w:rsidR="007B0609" w:rsidRPr="00051532">
              <w:rPr>
                <w:iCs/>
              </w:rPr>
              <w:t>need</w:t>
            </w:r>
            <w:r w:rsidR="002330F1" w:rsidRPr="00051532">
              <w:rPr>
                <w:iCs/>
              </w:rPr>
              <w:t xml:space="preserve">, including undiagnosed trauma can have a detrimental </w:t>
            </w:r>
            <w:r w:rsidR="007B0609" w:rsidRPr="00051532">
              <w:rPr>
                <w:iCs/>
              </w:rPr>
              <w:t xml:space="preserve">effect on the development and achievement of our children. </w:t>
            </w:r>
            <w:r w:rsidR="00184CC5" w:rsidRPr="00051532">
              <w:rPr>
                <w:iCs/>
              </w:rPr>
              <w:t>There is an increas</w:t>
            </w:r>
            <w:r w:rsidR="0062794E" w:rsidRPr="00051532">
              <w:rPr>
                <w:iCs/>
              </w:rPr>
              <w:t xml:space="preserve">ing amount of research </w:t>
            </w:r>
            <w:r w:rsidR="00317EA9" w:rsidRPr="00051532">
              <w:rPr>
                <w:iCs/>
              </w:rPr>
              <w:t>to link levels of deprivation with increased likelihood of special needs.</w:t>
            </w:r>
          </w:p>
          <w:p w14:paraId="49B84A14" w14:textId="70565346" w:rsidR="00317EA9" w:rsidRPr="00051532" w:rsidRDefault="00707FD4" w:rsidP="00B01164">
            <w:pPr>
              <w:pStyle w:val="NoSpacing"/>
              <w:rPr>
                <w:iCs/>
              </w:rPr>
            </w:pPr>
            <w:hyperlink r:id="rId8" w:history="1">
              <w:r w:rsidRPr="00051532">
                <w:rPr>
                  <w:rStyle w:val="Hyperlink"/>
                  <w:iCs/>
                </w:rPr>
                <w:t>https://www.jrf.org.uk/child-poverty/special-educational-needs-and-their-links-to-poverty</w:t>
              </w:r>
            </w:hyperlink>
          </w:p>
          <w:p w14:paraId="7F7A4D35" w14:textId="77777777" w:rsidR="00707FD4" w:rsidRPr="00051532" w:rsidRDefault="004F0917" w:rsidP="00B01164">
            <w:pPr>
              <w:pStyle w:val="NoSpacing"/>
              <w:rPr>
                <w:iCs/>
              </w:rPr>
            </w:pPr>
            <w:r w:rsidRPr="00051532">
              <w:rPr>
                <w:iCs/>
              </w:rPr>
              <w:t>The current level of high-level additional needs across the academy is the highest that has ever been seen.</w:t>
            </w:r>
            <w:r w:rsidR="00F1657B" w:rsidRPr="00051532">
              <w:rPr>
                <w:iCs/>
              </w:rPr>
              <w:t xml:space="preserve">  Some members of the community are reluctant to acknowledge their children have additional needs.  The language barrier with some of our parents having English as an additional language can mean that communicating the complexities of </w:t>
            </w:r>
            <w:r w:rsidR="00B64723" w:rsidRPr="00051532">
              <w:rPr>
                <w:iCs/>
              </w:rPr>
              <w:t>additional needs and supporting the families to access the pupil premium funding can be complex.</w:t>
            </w:r>
          </w:p>
          <w:tbl>
            <w:tblPr>
              <w:tblStyle w:val="TableGrid"/>
              <w:tblW w:w="0" w:type="auto"/>
              <w:tblInd w:w="2368" w:type="dxa"/>
              <w:tblLook w:val="04A0" w:firstRow="1" w:lastRow="0" w:firstColumn="1" w:lastColumn="0" w:noHBand="0" w:noVBand="1"/>
            </w:tblPr>
            <w:tblGrid>
              <w:gridCol w:w="1523"/>
              <w:gridCol w:w="1596"/>
            </w:tblGrid>
            <w:tr w:rsidR="00D40C6B" w:rsidRPr="00051532" w14:paraId="22CCD207" w14:textId="77777777" w:rsidTr="00D40C6B">
              <w:tc>
                <w:tcPr>
                  <w:tcW w:w="1523" w:type="dxa"/>
                </w:tcPr>
                <w:p w14:paraId="3BB9A4C8" w14:textId="3F33B475" w:rsidR="00D40C6B" w:rsidRPr="00051532" w:rsidRDefault="00D40C6B" w:rsidP="0044432D">
                  <w:pPr>
                    <w:pStyle w:val="NoSpacing"/>
                    <w:jc w:val="center"/>
                    <w:rPr>
                      <w:iCs/>
                    </w:rPr>
                  </w:pPr>
                  <w:r w:rsidRPr="00051532">
                    <w:rPr>
                      <w:iCs/>
                    </w:rPr>
                    <w:t>Year Group</w:t>
                  </w:r>
                </w:p>
              </w:tc>
              <w:tc>
                <w:tcPr>
                  <w:tcW w:w="1596" w:type="dxa"/>
                </w:tcPr>
                <w:p w14:paraId="5BF36093" w14:textId="30AF3E50" w:rsidR="00D40C6B" w:rsidRPr="00051532" w:rsidRDefault="00D40C6B" w:rsidP="0044432D">
                  <w:pPr>
                    <w:pStyle w:val="NoSpacing"/>
                    <w:jc w:val="center"/>
                    <w:rPr>
                      <w:iCs/>
                    </w:rPr>
                  </w:pPr>
                  <w:r w:rsidRPr="00051532">
                    <w:rPr>
                      <w:iCs/>
                    </w:rPr>
                    <w:t>Percentage of SEND</w:t>
                  </w:r>
                </w:p>
              </w:tc>
            </w:tr>
            <w:tr w:rsidR="007556E1" w:rsidRPr="00051532" w14:paraId="6E3269E5" w14:textId="77777777" w:rsidTr="00D40C6B">
              <w:tc>
                <w:tcPr>
                  <w:tcW w:w="1523" w:type="dxa"/>
                </w:tcPr>
                <w:p w14:paraId="4EBA76F8" w14:textId="12B39B59" w:rsidR="007556E1" w:rsidRPr="00051532" w:rsidRDefault="007556E1" w:rsidP="007556E1">
                  <w:pPr>
                    <w:pStyle w:val="NoSpacing"/>
                    <w:jc w:val="center"/>
                    <w:rPr>
                      <w:iCs/>
                    </w:rPr>
                  </w:pPr>
                  <w:r w:rsidRPr="00051532">
                    <w:rPr>
                      <w:iCs/>
                    </w:rPr>
                    <w:t>F2</w:t>
                  </w:r>
                </w:p>
              </w:tc>
              <w:tc>
                <w:tcPr>
                  <w:tcW w:w="1596" w:type="dxa"/>
                </w:tcPr>
                <w:p w14:paraId="6272EE72" w14:textId="37C5DA82" w:rsidR="007556E1" w:rsidRPr="00051532" w:rsidRDefault="00BB0984" w:rsidP="007556E1">
                  <w:pPr>
                    <w:pStyle w:val="NoSpacing"/>
                    <w:jc w:val="center"/>
                    <w:rPr>
                      <w:iCs/>
                    </w:rPr>
                  </w:pPr>
                  <w:r w:rsidRPr="00051532">
                    <w:rPr>
                      <w:iCs/>
                    </w:rPr>
                    <w:t>0</w:t>
                  </w:r>
                  <w:r w:rsidR="007556E1" w:rsidRPr="00051532">
                    <w:rPr>
                      <w:iCs/>
                    </w:rPr>
                    <w:t>%</w:t>
                  </w:r>
                </w:p>
              </w:tc>
            </w:tr>
            <w:tr w:rsidR="007556E1" w:rsidRPr="00051532" w14:paraId="29526A71" w14:textId="77777777" w:rsidTr="00D40C6B">
              <w:tc>
                <w:tcPr>
                  <w:tcW w:w="1523" w:type="dxa"/>
                </w:tcPr>
                <w:p w14:paraId="1F157845" w14:textId="3DC9D61D" w:rsidR="007556E1" w:rsidRPr="00051532" w:rsidRDefault="007556E1" w:rsidP="007556E1">
                  <w:pPr>
                    <w:pStyle w:val="NoSpacing"/>
                    <w:jc w:val="center"/>
                    <w:rPr>
                      <w:iCs/>
                    </w:rPr>
                  </w:pPr>
                  <w:r w:rsidRPr="00051532">
                    <w:rPr>
                      <w:iCs/>
                    </w:rPr>
                    <w:t>Y1</w:t>
                  </w:r>
                </w:p>
              </w:tc>
              <w:tc>
                <w:tcPr>
                  <w:tcW w:w="1596" w:type="dxa"/>
                </w:tcPr>
                <w:p w14:paraId="15B3AF22" w14:textId="2AF329BC" w:rsidR="007556E1" w:rsidRPr="00051532" w:rsidRDefault="00BB0984" w:rsidP="007556E1">
                  <w:pPr>
                    <w:pStyle w:val="NoSpacing"/>
                    <w:jc w:val="center"/>
                    <w:rPr>
                      <w:iCs/>
                    </w:rPr>
                  </w:pPr>
                  <w:r w:rsidRPr="00051532">
                    <w:rPr>
                      <w:iCs/>
                    </w:rPr>
                    <w:t>8</w:t>
                  </w:r>
                  <w:r w:rsidR="007556E1" w:rsidRPr="00051532">
                    <w:rPr>
                      <w:iCs/>
                    </w:rPr>
                    <w:t>%</w:t>
                  </w:r>
                </w:p>
              </w:tc>
            </w:tr>
            <w:tr w:rsidR="007556E1" w:rsidRPr="00051532" w14:paraId="16CF452C" w14:textId="77777777" w:rsidTr="00D40C6B">
              <w:tc>
                <w:tcPr>
                  <w:tcW w:w="1523" w:type="dxa"/>
                </w:tcPr>
                <w:p w14:paraId="59CA48A4" w14:textId="2E43244A" w:rsidR="007556E1" w:rsidRPr="00051532" w:rsidRDefault="007556E1" w:rsidP="007556E1">
                  <w:pPr>
                    <w:pStyle w:val="NoSpacing"/>
                    <w:jc w:val="center"/>
                    <w:rPr>
                      <w:iCs/>
                    </w:rPr>
                  </w:pPr>
                  <w:r w:rsidRPr="00051532">
                    <w:rPr>
                      <w:iCs/>
                    </w:rPr>
                    <w:t>Y2</w:t>
                  </w:r>
                </w:p>
              </w:tc>
              <w:tc>
                <w:tcPr>
                  <w:tcW w:w="1596" w:type="dxa"/>
                </w:tcPr>
                <w:p w14:paraId="4051A261" w14:textId="38A627A5" w:rsidR="007556E1" w:rsidRPr="00051532" w:rsidRDefault="007556E1" w:rsidP="007556E1">
                  <w:pPr>
                    <w:pStyle w:val="NoSpacing"/>
                    <w:jc w:val="center"/>
                    <w:rPr>
                      <w:iCs/>
                    </w:rPr>
                  </w:pPr>
                  <w:r w:rsidRPr="00051532">
                    <w:rPr>
                      <w:iCs/>
                    </w:rPr>
                    <w:t>3</w:t>
                  </w:r>
                  <w:r w:rsidR="003E6479" w:rsidRPr="00051532">
                    <w:rPr>
                      <w:iCs/>
                    </w:rPr>
                    <w:t>8</w:t>
                  </w:r>
                  <w:r w:rsidRPr="00051532">
                    <w:rPr>
                      <w:iCs/>
                    </w:rPr>
                    <w:t>%</w:t>
                  </w:r>
                </w:p>
              </w:tc>
            </w:tr>
            <w:tr w:rsidR="007556E1" w:rsidRPr="00051532" w14:paraId="5B9EE2E3" w14:textId="77777777" w:rsidTr="00D40C6B">
              <w:tc>
                <w:tcPr>
                  <w:tcW w:w="1523" w:type="dxa"/>
                </w:tcPr>
                <w:p w14:paraId="289D6BF9" w14:textId="3F78A4E2" w:rsidR="007556E1" w:rsidRPr="00051532" w:rsidRDefault="007556E1" w:rsidP="007556E1">
                  <w:pPr>
                    <w:pStyle w:val="NoSpacing"/>
                    <w:jc w:val="center"/>
                    <w:rPr>
                      <w:iCs/>
                    </w:rPr>
                  </w:pPr>
                  <w:r w:rsidRPr="00051532">
                    <w:rPr>
                      <w:iCs/>
                    </w:rPr>
                    <w:t>Y3</w:t>
                  </w:r>
                </w:p>
              </w:tc>
              <w:tc>
                <w:tcPr>
                  <w:tcW w:w="1596" w:type="dxa"/>
                </w:tcPr>
                <w:p w14:paraId="3A43F1C5" w14:textId="0EB89859" w:rsidR="007556E1" w:rsidRPr="00051532" w:rsidRDefault="003E6479" w:rsidP="007556E1">
                  <w:pPr>
                    <w:pStyle w:val="NoSpacing"/>
                    <w:jc w:val="center"/>
                    <w:rPr>
                      <w:iCs/>
                    </w:rPr>
                  </w:pPr>
                  <w:r w:rsidRPr="00051532">
                    <w:rPr>
                      <w:iCs/>
                    </w:rPr>
                    <w:t>23</w:t>
                  </w:r>
                  <w:r w:rsidR="007556E1" w:rsidRPr="00051532">
                    <w:rPr>
                      <w:iCs/>
                    </w:rPr>
                    <w:t>%</w:t>
                  </w:r>
                </w:p>
              </w:tc>
            </w:tr>
            <w:tr w:rsidR="007556E1" w:rsidRPr="00051532" w14:paraId="5FD55007" w14:textId="77777777" w:rsidTr="00D40C6B">
              <w:tc>
                <w:tcPr>
                  <w:tcW w:w="1523" w:type="dxa"/>
                </w:tcPr>
                <w:p w14:paraId="797313E0" w14:textId="2E598021" w:rsidR="007556E1" w:rsidRPr="00051532" w:rsidRDefault="007556E1" w:rsidP="007556E1">
                  <w:pPr>
                    <w:pStyle w:val="NoSpacing"/>
                    <w:jc w:val="center"/>
                    <w:rPr>
                      <w:iCs/>
                    </w:rPr>
                  </w:pPr>
                  <w:r w:rsidRPr="00051532">
                    <w:rPr>
                      <w:iCs/>
                    </w:rPr>
                    <w:t>Y4</w:t>
                  </w:r>
                </w:p>
              </w:tc>
              <w:tc>
                <w:tcPr>
                  <w:tcW w:w="1596" w:type="dxa"/>
                </w:tcPr>
                <w:p w14:paraId="4ECE6A6A" w14:textId="13E200BD" w:rsidR="007556E1" w:rsidRPr="00051532" w:rsidRDefault="003E6479" w:rsidP="007556E1">
                  <w:pPr>
                    <w:pStyle w:val="NoSpacing"/>
                    <w:jc w:val="center"/>
                    <w:rPr>
                      <w:iCs/>
                    </w:rPr>
                  </w:pPr>
                  <w:r w:rsidRPr="00051532">
                    <w:rPr>
                      <w:iCs/>
                    </w:rPr>
                    <w:t>26</w:t>
                  </w:r>
                  <w:r w:rsidR="007556E1" w:rsidRPr="00051532">
                    <w:rPr>
                      <w:iCs/>
                    </w:rPr>
                    <w:t>%</w:t>
                  </w:r>
                </w:p>
              </w:tc>
            </w:tr>
            <w:tr w:rsidR="007556E1" w:rsidRPr="00051532" w14:paraId="3C63139E" w14:textId="77777777" w:rsidTr="00D40C6B">
              <w:tc>
                <w:tcPr>
                  <w:tcW w:w="1523" w:type="dxa"/>
                </w:tcPr>
                <w:p w14:paraId="51B5F8AC" w14:textId="1E3EB6F5" w:rsidR="007556E1" w:rsidRPr="00051532" w:rsidRDefault="007556E1" w:rsidP="007556E1">
                  <w:pPr>
                    <w:pStyle w:val="NoSpacing"/>
                    <w:jc w:val="center"/>
                    <w:rPr>
                      <w:iCs/>
                    </w:rPr>
                  </w:pPr>
                  <w:r w:rsidRPr="00051532">
                    <w:rPr>
                      <w:iCs/>
                    </w:rPr>
                    <w:t>Y5</w:t>
                  </w:r>
                </w:p>
              </w:tc>
              <w:tc>
                <w:tcPr>
                  <w:tcW w:w="1596" w:type="dxa"/>
                </w:tcPr>
                <w:p w14:paraId="4D11BBEB" w14:textId="35D7B0B3" w:rsidR="007556E1" w:rsidRPr="00051532" w:rsidRDefault="003E6479" w:rsidP="007556E1">
                  <w:pPr>
                    <w:pStyle w:val="NoSpacing"/>
                    <w:jc w:val="center"/>
                    <w:rPr>
                      <w:iCs/>
                    </w:rPr>
                  </w:pPr>
                  <w:r w:rsidRPr="00051532">
                    <w:rPr>
                      <w:iCs/>
                    </w:rPr>
                    <w:t>40</w:t>
                  </w:r>
                  <w:r w:rsidR="0038569B" w:rsidRPr="00051532">
                    <w:rPr>
                      <w:iCs/>
                    </w:rPr>
                    <w:t>%</w:t>
                  </w:r>
                </w:p>
              </w:tc>
            </w:tr>
            <w:tr w:rsidR="007556E1" w:rsidRPr="00051532" w14:paraId="0CFBCEEC" w14:textId="77777777" w:rsidTr="00D40C6B">
              <w:tc>
                <w:tcPr>
                  <w:tcW w:w="1523" w:type="dxa"/>
                </w:tcPr>
                <w:p w14:paraId="13547FC5" w14:textId="6AC75E2C" w:rsidR="007556E1" w:rsidRPr="00051532" w:rsidRDefault="007556E1" w:rsidP="007556E1">
                  <w:pPr>
                    <w:pStyle w:val="NoSpacing"/>
                    <w:jc w:val="center"/>
                    <w:rPr>
                      <w:iCs/>
                    </w:rPr>
                  </w:pPr>
                  <w:r w:rsidRPr="00051532">
                    <w:rPr>
                      <w:iCs/>
                    </w:rPr>
                    <w:t>Y6</w:t>
                  </w:r>
                </w:p>
              </w:tc>
              <w:tc>
                <w:tcPr>
                  <w:tcW w:w="1596" w:type="dxa"/>
                </w:tcPr>
                <w:p w14:paraId="2BB65586" w14:textId="1F7A88CF" w:rsidR="007556E1" w:rsidRPr="00051532" w:rsidRDefault="0038569B" w:rsidP="007556E1">
                  <w:pPr>
                    <w:pStyle w:val="NoSpacing"/>
                    <w:jc w:val="center"/>
                    <w:rPr>
                      <w:iCs/>
                    </w:rPr>
                  </w:pPr>
                  <w:r w:rsidRPr="00051532">
                    <w:rPr>
                      <w:iCs/>
                    </w:rPr>
                    <w:t>2</w:t>
                  </w:r>
                  <w:r w:rsidR="00051532" w:rsidRPr="00051532">
                    <w:rPr>
                      <w:iCs/>
                    </w:rPr>
                    <w:t>3</w:t>
                  </w:r>
                  <w:r w:rsidRPr="00051532">
                    <w:rPr>
                      <w:iCs/>
                    </w:rPr>
                    <w:t>%</w:t>
                  </w:r>
                </w:p>
              </w:tc>
            </w:tr>
          </w:tbl>
          <w:p w14:paraId="41B0B04D" w14:textId="7F1A2457" w:rsidR="0041676F" w:rsidRPr="00051532" w:rsidRDefault="0041676F" w:rsidP="00B01164">
            <w:pPr>
              <w:pStyle w:val="NoSpacing"/>
              <w:rPr>
                <w:iCs/>
              </w:rPr>
            </w:pPr>
          </w:p>
        </w:tc>
      </w:tr>
    </w:tbl>
    <w:p w14:paraId="2A7D54FF" w14:textId="77777777" w:rsidR="00E66558" w:rsidRDefault="009D71E8">
      <w:pPr>
        <w:pStyle w:val="Heading2"/>
        <w:spacing w:before="600"/>
      </w:pPr>
      <w:bookmarkStart w:id="16"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39C5C57B" w:rsidR="00E66558" w:rsidRPr="00171999" w:rsidRDefault="0056343B">
            <w:pPr>
              <w:pStyle w:val="TableRow"/>
              <w:rPr>
                <w:sz w:val="22"/>
                <w:szCs w:val="22"/>
              </w:rPr>
            </w:pPr>
            <w:r>
              <w:rPr>
                <w:sz w:val="22"/>
                <w:szCs w:val="22"/>
              </w:rPr>
              <w:t>To continue to improve the teaching of reading, phonics and oracy to ensure progress in language development, including vocabulary.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27FE4" w14:textId="67EF280E" w:rsidR="00E66558" w:rsidRDefault="0056343B">
            <w:pPr>
              <w:pStyle w:val="TableRowCentered"/>
              <w:jc w:val="left"/>
              <w:rPr>
                <w:sz w:val="22"/>
                <w:szCs w:val="22"/>
              </w:rPr>
            </w:pPr>
            <w:r>
              <w:rPr>
                <w:sz w:val="22"/>
                <w:szCs w:val="22"/>
              </w:rPr>
              <w:t xml:space="preserve">All teaching (including the teaching of reading and phonics) is good and there </w:t>
            </w:r>
            <w:r w:rsidR="00937855">
              <w:rPr>
                <w:sz w:val="22"/>
                <w:szCs w:val="22"/>
              </w:rPr>
              <w:t>is</w:t>
            </w:r>
            <w:r>
              <w:rPr>
                <w:sz w:val="22"/>
                <w:szCs w:val="22"/>
              </w:rPr>
              <w:t xml:space="preserve"> effective use of </w:t>
            </w:r>
            <w:r w:rsidR="00D000D2">
              <w:rPr>
                <w:sz w:val="22"/>
                <w:szCs w:val="22"/>
              </w:rPr>
              <w:t>evidence-based</w:t>
            </w:r>
            <w:r>
              <w:rPr>
                <w:sz w:val="22"/>
                <w:szCs w:val="22"/>
              </w:rPr>
              <w:t xml:space="preserve"> oracy strategies to support talk in lessons.</w:t>
            </w:r>
          </w:p>
          <w:p w14:paraId="25D41F3C" w14:textId="77777777" w:rsidR="0056343B" w:rsidRDefault="0056343B">
            <w:pPr>
              <w:pStyle w:val="TableRowCentered"/>
              <w:jc w:val="left"/>
              <w:rPr>
                <w:sz w:val="22"/>
                <w:szCs w:val="22"/>
              </w:rPr>
            </w:pPr>
            <w:r>
              <w:rPr>
                <w:sz w:val="22"/>
                <w:szCs w:val="22"/>
              </w:rPr>
              <w:t>Assessment data will demonstrate p</w:t>
            </w:r>
            <w:r w:rsidR="00C70B01">
              <w:rPr>
                <w:sz w:val="22"/>
                <w:szCs w:val="22"/>
              </w:rPr>
              <w:t>rogress is being made in reading and phonics.</w:t>
            </w:r>
          </w:p>
          <w:p w14:paraId="614437D2" w14:textId="778E398D" w:rsidR="00C70B01" w:rsidRDefault="00AD0DA5">
            <w:pPr>
              <w:pStyle w:val="TableRowCentered"/>
              <w:jc w:val="left"/>
              <w:rPr>
                <w:sz w:val="22"/>
                <w:szCs w:val="22"/>
              </w:rPr>
            </w:pPr>
            <w:r>
              <w:rPr>
                <w:sz w:val="22"/>
                <w:szCs w:val="22"/>
              </w:rPr>
              <w:t xml:space="preserve">Vocabulary </w:t>
            </w:r>
            <w:r w:rsidR="004F7263">
              <w:rPr>
                <w:sz w:val="22"/>
                <w:szCs w:val="22"/>
              </w:rPr>
              <w:t xml:space="preserve">progression </w:t>
            </w:r>
            <w:r w:rsidR="00332332">
              <w:rPr>
                <w:sz w:val="22"/>
                <w:szCs w:val="22"/>
              </w:rPr>
              <w:t xml:space="preserve">and sentence stems </w:t>
            </w:r>
            <w:r w:rsidR="004F7263">
              <w:rPr>
                <w:sz w:val="22"/>
                <w:szCs w:val="22"/>
              </w:rPr>
              <w:t>for specific subjects is develop</w:t>
            </w:r>
            <w:r w:rsidR="00AD3D68">
              <w:rPr>
                <w:sz w:val="22"/>
                <w:szCs w:val="22"/>
              </w:rPr>
              <w:t>ed</w:t>
            </w:r>
            <w:r w:rsidR="00D74C04">
              <w:rPr>
                <w:sz w:val="22"/>
                <w:szCs w:val="22"/>
              </w:rPr>
              <w:t xml:space="preserve"> </w:t>
            </w:r>
            <w:r w:rsidR="004F7263">
              <w:rPr>
                <w:sz w:val="22"/>
                <w:szCs w:val="22"/>
              </w:rPr>
              <w:t>and implemented to support development o</w:t>
            </w:r>
            <w:r w:rsidR="00A77EB1">
              <w:rPr>
                <w:sz w:val="22"/>
                <w:szCs w:val="22"/>
              </w:rPr>
              <w:t>f language across school.</w:t>
            </w:r>
          </w:p>
          <w:p w14:paraId="7D06EB3A" w14:textId="345F8727" w:rsidR="00332332" w:rsidRDefault="00332332">
            <w:pPr>
              <w:pStyle w:val="TableRowCentered"/>
              <w:jc w:val="left"/>
              <w:rPr>
                <w:sz w:val="22"/>
                <w:szCs w:val="22"/>
              </w:rPr>
            </w:pPr>
            <w:r>
              <w:rPr>
                <w:sz w:val="22"/>
                <w:szCs w:val="22"/>
              </w:rPr>
              <w:t xml:space="preserve">Introduction of the Starling programme for developing vocabulary </w:t>
            </w:r>
            <w:r w:rsidR="007C752D">
              <w:rPr>
                <w:sz w:val="22"/>
                <w:szCs w:val="22"/>
              </w:rPr>
              <w:t>within key year groups in Key Stage 2</w:t>
            </w:r>
            <w:r>
              <w:rPr>
                <w:sz w:val="22"/>
                <w:szCs w:val="22"/>
              </w:rPr>
              <w:t>.</w:t>
            </w:r>
          </w:p>
          <w:p w14:paraId="2A7D5505" w14:textId="3FB55337" w:rsidR="00567C9D" w:rsidRPr="00762DEE" w:rsidRDefault="00567C9D">
            <w:pPr>
              <w:pStyle w:val="TableRowCentered"/>
              <w:jc w:val="left"/>
              <w:rPr>
                <w:sz w:val="22"/>
                <w:szCs w:val="22"/>
              </w:rPr>
            </w:pPr>
            <w:r>
              <w:rPr>
                <w:sz w:val="22"/>
                <w:szCs w:val="22"/>
              </w:rPr>
              <w:t>Triangulation of monitoring indicates that there is a significant im</w:t>
            </w:r>
            <w:r w:rsidR="00AE6CD2">
              <w:rPr>
                <w:sz w:val="22"/>
                <w:szCs w:val="22"/>
              </w:rPr>
              <w:t>provement in language development.</w:t>
            </w:r>
          </w:p>
        </w:tc>
      </w:tr>
      <w:tr w:rsidR="00DC141D"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773C5" w14:textId="68766AD3" w:rsidR="001A07E8" w:rsidRDefault="001A07E8" w:rsidP="00DC141D">
            <w:pPr>
              <w:pStyle w:val="TableRow"/>
              <w:rPr>
                <w:sz w:val="22"/>
                <w:szCs w:val="22"/>
              </w:rPr>
            </w:pPr>
            <w:r>
              <w:rPr>
                <w:sz w:val="22"/>
                <w:szCs w:val="22"/>
              </w:rPr>
              <w:t>To continue to ensure minimal gap between pupil premium pupils and non-pupil premium pupils’ performance in reading, writing and maths</w:t>
            </w:r>
            <w:r w:rsidR="003A3FF2">
              <w:rPr>
                <w:sz w:val="22"/>
                <w:szCs w:val="22"/>
              </w:rPr>
              <w:t xml:space="preserve"> whilst ensuring good or better progress from their starting points in core subject areas.</w:t>
            </w:r>
          </w:p>
          <w:p w14:paraId="4FFFCF55" w14:textId="77777777" w:rsidR="00AD61B4" w:rsidRDefault="00AD61B4" w:rsidP="00DC141D">
            <w:pPr>
              <w:pStyle w:val="TableRow"/>
              <w:rPr>
                <w:sz w:val="22"/>
                <w:szCs w:val="22"/>
              </w:rPr>
            </w:pPr>
          </w:p>
          <w:p w14:paraId="4CB70A74" w14:textId="4E00E16D" w:rsidR="001F03D8" w:rsidRDefault="001F03D8" w:rsidP="00DC141D">
            <w:pPr>
              <w:pStyle w:val="TableRow"/>
              <w:rPr>
                <w:sz w:val="22"/>
                <w:szCs w:val="22"/>
              </w:rPr>
            </w:pPr>
            <w:r>
              <w:rPr>
                <w:sz w:val="22"/>
                <w:szCs w:val="22"/>
              </w:rPr>
              <w:t xml:space="preserve">To improve attainment for pupil premium pupils </w:t>
            </w:r>
            <w:r w:rsidR="004952BD">
              <w:rPr>
                <w:sz w:val="22"/>
                <w:szCs w:val="22"/>
              </w:rPr>
              <w:t xml:space="preserve">reaching the expected standard </w:t>
            </w:r>
            <w:r w:rsidR="00AD61B4">
              <w:rPr>
                <w:sz w:val="22"/>
                <w:szCs w:val="22"/>
              </w:rPr>
              <w:t>so that it is in line with peers at the end of KS2.</w:t>
            </w:r>
          </w:p>
          <w:p w14:paraId="2B90AEBB" w14:textId="77777777" w:rsidR="001A07E8" w:rsidRDefault="001A07E8" w:rsidP="00DC141D">
            <w:pPr>
              <w:pStyle w:val="TableRow"/>
              <w:rPr>
                <w:sz w:val="22"/>
                <w:szCs w:val="22"/>
              </w:rPr>
            </w:pPr>
          </w:p>
          <w:p w14:paraId="2A7D5507" w14:textId="71391DC5" w:rsidR="00DC141D" w:rsidRDefault="00DC141D" w:rsidP="00AD61B4">
            <w:pPr>
              <w:pStyle w:val="TableRow"/>
              <w:rPr>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F79D5" w14:textId="18B75881" w:rsidR="00DC141D" w:rsidRDefault="00AD61B4" w:rsidP="00DC141D">
            <w:pPr>
              <w:pStyle w:val="TableRowCentered"/>
              <w:jc w:val="left"/>
              <w:rPr>
                <w:sz w:val="22"/>
                <w:szCs w:val="22"/>
              </w:rPr>
            </w:pPr>
            <w:r>
              <w:rPr>
                <w:sz w:val="22"/>
                <w:szCs w:val="22"/>
              </w:rPr>
              <w:t xml:space="preserve">Outcomes for pupil premium pupils </w:t>
            </w:r>
            <w:r w:rsidR="00FD3EFC">
              <w:rPr>
                <w:sz w:val="22"/>
                <w:szCs w:val="22"/>
              </w:rPr>
              <w:t>rea</w:t>
            </w:r>
            <w:r w:rsidR="008B0850">
              <w:rPr>
                <w:sz w:val="22"/>
                <w:szCs w:val="22"/>
              </w:rPr>
              <w:t>ch</w:t>
            </w:r>
            <w:r w:rsidR="00FD3EFC">
              <w:rPr>
                <w:sz w:val="22"/>
                <w:szCs w:val="22"/>
              </w:rPr>
              <w:t>ing the expected standard in reading, writing and maths will have increased from the starting points b</w:t>
            </w:r>
            <w:r w:rsidR="009E35A2">
              <w:rPr>
                <w:sz w:val="22"/>
                <w:szCs w:val="22"/>
              </w:rPr>
              <w:t>y the end of:</w:t>
            </w:r>
          </w:p>
          <w:p w14:paraId="1E1C9092" w14:textId="3AF920BB" w:rsidR="009E35A2" w:rsidRDefault="009E35A2" w:rsidP="00DC141D">
            <w:pPr>
              <w:pStyle w:val="TableRowCentered"/>
              <w:jc w:val="left"/>
              <w:rPr>
                <w:sz w:val="22"/>
                <w:szCs w:val="22"/>
              </w:rPr>
            </w:pPr>
            <w:r>
              <w:rPr>
                <w:sz w:val="22"/>
                <w:szCs w:val="22"/>
              </w:rPr>
              <w:t>202</w:t>
            </w:r>
            <w:r w:rsidR="00963CC8">
              <w:rPr>
                <w:sz w:val="22"/>
                <w:szCs w:val="22"/>
              </w:rPr>
              <w:t>4</w:t>
            </w:r>
            <w:r>
              <w:rPr>
                <w:sz w:val="22"/>
                <w:szCs w:val="22"/>
              </w:rPr>
              <w:t xml:space="preserve"> / 202</w:t>
            </w:r>
            <w:r w:rsidR="00963CC8">
              <w:rPr>
                <w:sz w:val="22"/>
                <w:szCs w:val="22"/>
              </w:rPr>
              <w:t>5</w:t>
            </w:r>
          </w:p>
          <w:p w14:paraId="2BB4C230" w14:textId="7FD89285" w:rsidR="009E35A2" w:rsidRDefault="009E35A2" w:rsidP="00DC141D">
            <w:pPr>
              <w:pStyle w:val="TableRowCentered"/>
              <w:jc w:val="left"/>
              <w:rPr>
                <w:sz w:val="22"/>
                <w:szCs w:val="22"/>
              </w:rPr>
            </w:pPr>
            <w:r>
              <w:rPr>
                <w:sz w:val="22"/>
                <w:szCs w:val="22"/>
              </w:rPr>
              <w:t>202</w:t>
            </w:r>
            <w:r w:rsidR="00963CC8">
              <w:rPr>
                <w:sz w:val="22"/>
                <w:szCs w:val="22"/>
              </w:rPr>
              <w:t>5</w:t>
            </w:r>
            <w:r>
              <w:rPr>
                <w:sz w:val="22"/>
                <w:szCs w:val="22"/>
              </w:rPr>
              <w:t xml:space="preserve"> / 202</w:t>
            </w:r>
            <w:r w:rsidR="00963CC8">
              <w:rPr>
                <w:sz w:val="22"/>
                <w:szCs w:val="22"/>
              </w:rPr>
              <w:t>6</w:t>
            </w:r>
          </w:p>
          <w:p w14:paraId="2556FE92" w14:textId="60298D49" w:rsidR="009E35A2" w:rsidRDefault="009E35A2" w:rsidP="00DC141D">
            <w:pPr>
              <w:pStyle w:val="TableRowCentered"/>
              <w:jc w:val="left"/>
              <w:rPr>
                <w:sz w:val="22"/>
                <w:szCs w:val="22"/>
              </w:rPr>
            </w:pPr>
            <w:r>
              <w:rPr>
                <w:sz w:val="22"/>
                <w:szCs w:val="22"/>
              </w:rPr>
              <w:t>202</w:t>
            </w:r>
            <w:r w:rsidR="00963CC8">
              <w:rPr>
                <w:sz w:val="22"/>
                <w:szCs w:val="22"/>
              </w:rPr>
              <w:t>6</w:t>
            </w:r>
            <w:r>
              <w:rPr>
                <w:sz w:val="22"/>
                <w:szCs w:val="22"/>
              </w:rPr>
              <w:t xml:space="preserve"> </w:t>
            </w:r>
            <w:r w:rsidR="008B0850">
              <w:rPr>
                <w:sz w:val="22"/>
                <w:szCs w:val="22"/>
              </w:rPr>
              <w:t>/ 202</w:t>
            </w:r>
            <w:r w:rsidR="00963CC8">
              <w:rPr>
                <w:sz w:val="22"/>
                <w:szCs w:val="22"/>
              </w:rPr>
              <w:t>7</w:t>
            </w:r>
          </w:p>
          <w:p w14:paraId="264AC251" w14:textId="77777777" w:rsidR="008B0850" w:rsidRDefault="008B0850" w:rsidP="00DC141D">
            <w:pPr>
              <w:pStyle w:val="TableRowCentered"/>
              <w:jc w:val="left"/>
              <w:rPr>
                <w:sz w:val="22"/>
                <w:szCs w:val="22"/>
              </w:rPr>
            </w:pPr>
          </w:p>
          <w:p w14:paraId="2A7D5508" w14:textId="07A8B530" w:rsidR="008B0850" w:rsidRDefault="00F35D00" w:rsidP="00DC141D">
            <w:pPr>
              <w:pStyle w:val="TableRowCentered"/>
              <w:jc w:val="left"/>
              <w:rPr>
                <w:sz w:val="22"/>
                <w:szCs w:val="22"/>
              </w:rPr>
            </w:pPr>
            <w:r>
              <w:rPr>
                <w:sz w:val="22"/>
                <w:szCs w:val="22"/>
              </w:rPr>
              <w:t>Data will indicate that pupil premium pupils have made good or better progress in core subject areas.</w:t>
            </w:r>
          </w:p>
        </w:tc>
      </w:tr>
      <w:tr w:rsidR="003D515A"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7DC5D" w14:textId="27991467" w:rsidR="00A16471" w:rsidRDefault="00A16471" w:rsidP="003D515A">
            <w:pPr>
              <w:pStyle w:val="TableRow"/>
              <w:rPr>
                <w:sz w:val="22"/>
                <w:szCs w:val="22"/>
              </w:rPr>
            </w:pPr>
            <w:r>
              <w:rPr>
                <w:sz w:val="22"/>
                <w:szCs w:val="22"/>
              </w:rPr>
              <w:t>To sustain attendance of pupil premium pupils to ensure it is in line with the national average.</w:t>
            </w:r>
          </w:p>
          <w:p w14:paraId="39E8C26D" w14:textId="77777777" w:rsidR="006E2FBD" w:rsidRDefault="006E2FBD" w:rsidP="003D515A">
            <w:pPr>
              <w:pStyle w:val="TableRow"/>
              <w:rPr>
                <w:sz w:val="22"/>
                <w:szCs w:val="22"/>
              </w:rPr>
            </w:pPr>
          </w:p>
          <w:p w14:paraId="5302E985" w14:textId="5387587F" w:rsidR="006E2FBD" w:rsidRDefault="006E2FBD" w:rsidP="003D515A">
            <w:pPr>
              <w:pStyle w:val="TableRow"/>
              <w:rPr>
                <w:sz w:val="22"/>
                <w:szCs w:val="22"/>
              </w:rPr>
            </w:pPr>
            <w:r>
              <w:rPr>
                <w:sz w:val="22"/>
                <w:szCs w:val="22"/>
              </w:rPr>
              <w:t xml:space="preserve">To ensure persistent absence percentages for pupil premium pupils is less than </w:t>
            </w:r>
            <w:r w:rsidR="005A65AB">
              <w:rPr>
                <w:sz w:val="22"/>
                <w:szCs w:val="22"/>
              </w:rPr>
              <w:t>the national average.</w:t>
            </w:r>
          </w:p>
          <w:p w14:paraId="2A7D550D" w14:textId="0D0D06EB" w:rsidR="003D515A" w:rsidRDefault="003D515A" w:rsidP="003D515A">
            <w:pPr>
              <w:pStyle w:val="TableRow"/>
              <w:rPr>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BE848" w14:textId="12029F7C" w:rsidR="003D515A" w:rsidRDefault="005A65AB" w:rsidP="003D515A">
            <w:pPr>
              <w:pStyle w:val="TableRowCentered"/>
              <w:jc w:val="left"/>
              <w:rPr>
                <w:sz w:val="22"/>
                <w:szCs w:val="22"/>
              </w:rPr>
            </w:pPr>
            <w:r>
              <w:rPr>
                <w:sz w:val="22"/>
                <w:szCs w:val="22"/>
              </w:rPr>
              <w:t xml:space="preserve">Attendance of pupil </w:t>
            </w:r>
            <w:r w:rsidR="00C11562">
              <w:rPr>
                <w:sz w:val="22"/>
                <w:szCs w:val="22"/>
              </w:rPr>
              <w:t>p</w:t>
            </w:r>
            <w:r>
              <w:rPr>
                <w:sz w:val="22"/>
                <w:szCs w:val="22"/>
              </w:rPr>
              <w:t>remium pupils</w:t>
            </w:r>
            <w:r w:rsidR="007A2BC5">
              <w:rPr>
                <w:sz w:val="22"/>
                <w:szCs w:val="22"/>
              </w:rPr>
              <w:t xml:space="preserve"> being maintained a</w:t>
            </w:r>
            <w:r w:rsidR="007F2271">
              <w:rPr>
                <w:sz w:val="22"/>
                <w:szCs w:val="22"/>
              </w:rPr>
              <w:t xml:space="preserve">t National </w:t>
            </w:r>
            <w:r w:rsidR="00154BAD">
              <w:rPr>
                <w:sz w:val="22"/>
                <w:szCs w:val="22"/>
              </w:rPr>
              <w:t>A</w:t>
            </w:r>
            <w:r w:rsidR="007F2271">
              <w:rPr>
                <w:sz w:val="22"/>
                <w:szCs w:val="22"/>
              </w:rPr>
              <w:t xml:space="preserve">verage and if </w:t>
            </w:r>
            <w:proofErr w:type="gramStart"/>
            <w:r w:rsidR="007F2271">
              <w:rPr>
                <w:sz w:val="22"/>
                <w:szCs w:val="22"/>
              </w:rPr>
              <w:t>not</w:t>
            </w:r>
            <w:proofErr w:type="gramEnd"/>
            <w:r w:rsidR="007F2271">
              <w:rPr>
                <w:sz w:val="22"/>
                <w:szCs w:val="22"/>
              </w:rPr>
              <w:t xml:space="preserve"> action is taken immediately to provide support / targeted intervention to the family,</w:t>
            </w:r>
          </w:p>
          <w:p w14:paraId="61D2CC62" w14:textId="77777777" w:rsidR="00237F6B" w:rsidRDefault="00237F6B" w:rsidP="003D515A">
            <w:pPr>
              <w:pStyle w:val="TableRowCentered"/>
              <w:jc w:val="left"/>
              <w:rPr>
                <w:sz w:val="22"/>
                <w:szCs w:val="22"/>
              </w:rPr>
            </w:pPr>
            <w:r>
              <w:rPr>
                <w:sz w:val="22"/>
                <w:szCs w:val="22"/>
              </w:rPr>
              <w:t xml:space="preserve">Weekly and termly attendance data will demonstrate that </w:t>
            </w:r>
            <w:r w:rsidR="00716CCA">
              <w:rPr>
                <w:sz w:val="22"/>
                <w:szCs w:val="22"/>
              </w:rPr>
              <w:t xml:space="preserve">the </w:t>
            </w:r>
            <w:r>
              <w:rPr>
                <w:sz w:val="22"/>
                <w:szCs w:val="22"/>
              </w:rPr>
              <w:t xml:space="preserve">% of pupil premium pupils who are persistently absent is </w:t>
            </w:r>
            <w:r w:rsidR="00716CCA">
              <w:rPr>
                <w:sz w:val="22"/>
                <w:szCs w:val="22"/>
              </w:rPr>
              <w:t>lower tha</w:t>
            </w:r>
            <w:r w:rsidR="00154BAD">
              <w:rPr>
                <w:sz w:val="22"/>
                <w:szCs w:val="22"/>
              </w:rPr>
              <w:t>n National Averages.</w:t>
            </w:r>
          </w:p>
          <w:p w14:paraId="2A7D550E" w14:textId="09E17F96" w:rsidR="00E23794" w:rsidRDefault="00E23794" w:rsidP="003D515A">
            <w:pPr>
              <w:pStyle w:val="TableRowCentered"/>
              <w:jc w:val="left"/>
              <w:rPr>
                <w:sz w:val="22"/>
                <w:szCs w:val="22"/>
              </w:rPr>
            </w:pPr>
            <w:r>
              <w:rPr>
                <w:sz w:val="22"/>
                <w:szCs w:val="22"/>
              </w:rPr>
              <w:t>Persistent a</w:t>
            </w:r>
            <w:r w:rsidR="00355424">
              <w:rPr>
                <w:sz w:val="22"/>
                <w:szCs w:val="22"/>
              </w:rPr>
              <w:t>bsence from pupil premium children is reduced through attendance officer’s work with families in conjunction with SLT, teachers and teaching assistants.</w:t>
            </w:r>
          </w:p>
        </w:tc>
      </w:tr>
      <w:tr w:rsidR="003D515A" w14:paraId="62A7AF3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83C8F" w14:textId="05FA9DC3" w:rsidR="003D515A" w:rsidRDefault="003D515A" w:rsidP="003D515A">
            <w:pPr>
              <w:pStyle w:val="TableRow"/>
              <w:rPr>
                <w:sz w:val="22"/>
                <w:szCs w:val="22"/>
              </w:rPr>
            </w:pPr>
            <w:r>
              <w:rPr>
                <w:sz w:val="22"/>
                <w:szCs w:val="22"/>
              </w:rPr>
              <w:t xml:space="preserve">To </w:t>
            </w:r>
            <w:r w:rsidR="009A2363">
              <w:rPr>
                <w:sz w:val="22"/>
                <w:szCs w:val="22"/>
              </w:rPr>
              <w:t>improve mental health and wellbeing for all pupils in school, which ultimately has an overall impact on the behaviour of pupils across school.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B3C3D" w14:textId="77777777" w:rsidR="003D515A" w:rsidRDefault="009743BD" w:rsidP="003D515A">
            <w:pPr>
              <w:pStyle w:val="TableRowCentered"/>
              <w:jc w:val="left"/>
              <w:rPr>
                <w:sz w:val="22"/>
                <w:szCs w:val="22"/>
              </w:rPr>
            </w:pPr>
            <w:r>
              <w:rPr>
                <w:sz w:val="22"/>
                <w:szCs w:val="22"/>
              </w:rPr>
              <w:t>Improved levels of mental health and wellbeing can be seen through:</w:t>
            </w:r>
          </w:p>
          <w:p w14:paraId="1D0ED3FE" w14:textId="57603DF9" w:rsidR="009743BD" w:rsidRDefault="00AE2330" w:rsidP="009743BD">
            <w:pPr>
              <w:pStyle w:val="TableRowCentered"/>
              <w:numPr>
                <w:ilvl w:val="0"/>
                <w:numId w:val="18"/>
              </w:numPr>
              <w:jc w:val="left"/>
              <w:rPr>
                <w:sz w:val="22"/>
                <w:szCs w:val="22"/>
              </w:rPr>
            </w:pPr>
            <w:r>
              <w:rPr>
                <w:sz w:val="22"/>
                <w:szCs w:val="22"/>
              </w:rPr>
              <w:t>Quantitative dat</w:t>
            </w:r>
            <w:r w:rsidR="001D6CC4">
              <w:rPr>
                <w:sz w:val="22"/>
                <w:szCs w:val="22"/>
              </w:rPr>
              <w:t>a</w:t>
            </w:r>
            <w:r>
              <w:rPr>
                <w:sz w:val="22"/>
                <w:szCs w:val="22"/>
              </w:rPr>
              <w:t xml:space="preserve"> from wellbeing assessments, and internal intervention shows an overall improvement in mental health and wellbeing (MHST / </w:t>
            </w:r>
            <w:proofErr w:type="spellStart"/>
            <w:r>
              <w:rPr>
                <w:sz w:val="22"/>
                <w:szCs w:val="22"/>
              </w:rPr>
              <w:t>Therapat</w:t>
            </w:r>
            <w:proofErr w:type="spellEnd"/>
            <w:r>
              <w:rPr>
                <w:sz w:val="22"/>
                <w:szCs w:val="22"/>
              </w:rPr>
              <w:t>)</w:t>
            </w:r>
          </w:p>
          <w:p w14:paraId="4BC48448" w14:textId="77777777" w:rsidR="00AE2330" w:rsidRDefault="001519B5" w:rsidP="009743BD">
            <w:pPr>
              <w:pStyle w:val="TableRowCentered"/>
              <w:numPr>
                <w:ilvl w:val="0"/>
                <w:numId w:val="18"/>
              </w:numPr>
              <w:jc w:val="left"/>
              <w:rPr>
                <w:sz w:val="22"/>
                <w:szCs w:val="22"/>
              </w:rPr>
            </w:pPr>
            <w:r>
              <w:rPr>
                <w:sz w:val="22"/>
                <w:szCs w:val="22"/>
              </w:rPr>
              <w:t xml:space="preserve">Triangulation of data and pupil / parent voice, plus any additional data through </w:t>
            </w:r>
            <w:r w:rsidR="0030578F">
              <w:rPr>
                <w:sz w:val="22"/>
                <w:szCs w:val="22"/>
              </w:rPr>
              <w:t>external agency support shows impact of actions taken.</w:t>
            </w:r>
          </w:p>
          <w:p w14:paraId="0E07F752" w14:textId="20196BF8" w:rsidR="0030578F" w:rsidRDefault="0030578F" w:rsidP="0030578F">
            <w:pPr>
              <w:pStyle w:val="TableRowCentered"/>
              <w:jc w:val="left"/>
              <w:rPr>
                <w:sz w:val="22"/>
                <w:szCs w:val="22"/>
              </w:rPr>
            </w:pPr>
            <w:r>
              <w:rPr>
                <w:sz w:val="22"/>
                <w:szCs w:val="22"/>
              </w:rPr>
              <w:t>Positive behaviour</w:t>
            </w:r>
            <w:r w:rsidR="001F3A6E">
              <w:rPr>
                <w:sz w:val="22"/>
                <w:szCs w:val="22"/>
              </w:rPr>
              <w:t xml:space="preserve"> for learning is consistently role modelled throughout school.</w:t>
            </w:r>
          </w:p>
        </w:tc>
      </w:tr>
      <w:tr w:rsidR="003D515A" w14:paraId="4C660715"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BE96E" w14:textId="33E96EA6" w:rsidR="003D515A" w:rsidRDefault="003D515A" w:rsidP="003D515A">
            <w:pPr>
              <w:pStyle w:val="TableRow"/>
              <w:rPr>
                <w:sz w:val="22"/>
                <w:szCs w:val="22"/>
              </w:rPr>
            </w:pPr>
            <w:r>
              <w:rPr>
                <w:sz w:val="22"/>
                <w:szCs w:val="22"/>
              </w:rPr>
              <w:t>All disadvantaged Pupil Premium children take part and participate in enrichment activities that extend their school learning journey experience and cultural capital.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D78D5" w14:textId="6E688E81" w:rsidR="003D515A" w:rsidRDefault="002E571F" w:rsidP="003D515A">
            <w:pPr>
              <w:pStyle w:val="TableRowCentered"/>
              <w:jc w:val="left"/>
              <w:rPr>
                <w:sz w:val="22"/>
                <w:szCs w:val="22"/>
              </w:rPr>
            </w:pPr>
            <w:r>
              <w:rPr>
                <w:sz w:val="22"/>
                <w:szCs w:val="22"/>
              </w:rPr>
              <w:t>Pupils will have experiences a</w:t>
            </w:r>
            <w:r w:rsidR="0033582C">
              <w:rPr>
                <w:sz w:val="22"/>
                <w:szCs w:val="22"/>
              </w:rPr>
              <w:t>nd be able to draw upon a wide range of culturally rich life experiences, which we have implemented and that will have impact of their aspirations and academic applications.</w:t>
            </w:r>
          </w:p>
          <w:p w14:paraId="4F63E1E0" w14:textId="77777777" w:rsidR="003D515A" w:rsidRDefault="003D515A" w:rsidP="003D515A">
            <w:pPr>
              <w:pStyle w:val="TableRowCentered"/>
              <w:jc w:val="left"/>
              <w:rPr>
                <w:sz w:val="22"/>
                <w:szCs w:val="22"/>
              </w:rPr>
            </w:pPr>
          </w:p>
          <w:p w14:paraId="1996E1ED" w14:textId="7A5ACBF3" w:rsidR="003D515A" w:rsidRDefault="003D515A" w:rsidP="003D515A">
            <w:pPr>
              <w:pStyle w:val="TableRowCentered"/>
              <w:jc w:val="left"/>
              <w:rPr>
                <w:sz w:val="22"/>
                <w:szCs w:val="22"/>
              </w:rPr>
            </w:pPr>
            <w:r>
              <w:rPr>
                <w:sz w:val="22"/>
                <w:szCs w:val="22"/>
              </w:rPr>
              <w:t>Teachers and support staff plan a wide range of visits/events/experiences to inspire/enhance the progress of their learning, as measured through DC Pro reports and pupil voice.</w:t>
            </w:r>
          </w:p>
        </w:tc>
      </w:tr>
      <w:tr w:rsidR="00D80677" w14:paraId="060D836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B49AE" w14:textId="4F32D755" w:rsidR="00D80677" w:rsidRDefault="00E200D4" w:rsidP="003D515A">
            <w:pPr>
              <w:pStyle w:val="TableRow"/>
              <w:rPr>
                <w:sz w:val="22"/>
                <w:szCs w:val="22"/>
              </w:rPr>
            </w:pPr>
            <w:r>
              <w:rPr>
                <w:sz w:val="22"/>
                <w:szCs w:val="22"/>
              </w:rPr>
              <w:t>Ensure that all children with SEND have their needs met and make progress.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66C81" w14:textId="03DC8FC6" w:rsidR="00D80677" w:rsidRDefault="009C47F4" w:rsidP="009C47F4">
            <w:pPr>
              <w:pStyle w:val="TableRowCentered"/>
              <w:jc w:val="left"/>
              <w:rPr>
                <w:sz w:val="22"/>
                <w:szCs w:val="22"/>
              </w:rPr>
            </w:pPr>
            <w:r>
              <w:rPr>
                <w:sz w:val="22"/>
                <w:szCs w:val="22"/>
              </w:rPr>
              <w:t>Lesson observations show adaptive teaching strategies are used to enable all pupils to access their learning.</w:t>
            </w:r>
          </w:p>
        </w:tc>
      </w:tr>
    </w:tbl>
    <w:p w14:paraId="2A7D5512" w14:textId="7B489199" w:rsidR="00E66558" w:rsidRDefault="009D71E8">
      <w:pPr>
        <w:pStyle w:val="Heading2"/>
      </w:pPr>
      <w:r>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5E14B28B" w:rsidR="00E66558" w:rsidRDefault="009D71E8">
      <w:r>
        <w:t xml:space="preserve">Budgeted cost: </w:t>
      </w:r>
      <w:r w:rsidRPr="00023537">
        <w:t>£</w:t>
      </w:r>
      <w:r w:rsidR="00B734CA">
        <w:t>84,324</w:t>
      </w:r>
      <w:r w:rsidR="00C260C5">
        <w:t xml:space="preserve"> </w:t>
      </w:r>
    </w:p>
    <w:tbl>
      <w:tblPr>
        <w:tblW w:w="5228" w:type="pct"/>
        <w:tblLayout w:type="fixed"/>
        <w:tblCellMar>
          <w:left w:w="10" w:type="dxa"/>
          <w:right w:w="10" w:type="dxa"/>
        </w:tblCellMar>
        <w:tblLook w:val="04A0" w:firstRow="1" w:lastRow="0" w:firstColumn="1" w:lastColumn="0" w:noHBand="0" w:noVBand="1"/>
      </w:tblPr>
      <w:tblGrid>
        <w:gridCol w:w="2547"/>
        <w:gridCol w:w="5813"/>
        <w:gridCol w:w="1559"/>
      </w:tblGrid>
      <w:tr w:rsidR="00E66558" w14:paraId="2A7D5519" w14:textId="77777777" w:rsidTr="007B1504">
        <w:tc>
          <w:tcPr>
            <w:tcW w:w="254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5132F6" w:rsidRDefault="009D71E8">
            <w:pPr>
              <w:pStyle w:val="TableHeader"/>
              <w:jc w:val="left"/>
              <w:rPr>
                <w:sz w:val="22"/>
                <w:szCs w:val="22"/>
              </w:rPr>
            </w:pPr>
            <w:r w:rsidRPr="005132F6">
              <w:rPr>
                <w:sz w:val="22"/>
                <w:szCs w:val="22"/>
              </w:rPr>
              <w:t>Activity</w:t>
            </w:r>
          </w:p>
        </w:tc>
        <w:tc>
          <w:tcPr>
            <w:tcW w:w="581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5132F6" w:rsidRDefault="009D71E8">
            <w:pPr>
              <w:pStyle w:val="TableHeader"/>
              <w:jc w:val="left"/>
              <w:rPr>
                <w:sz w:val="22"/>
                <w:szCs w:val="22"/>
              </w:rPr>
            </w:pPr>
            <w:r w:rsidRPr="005132F6">
              <w:rPr>
                <w:sz w:val="22"/>
                <w:szCs w:val="22"/>
              </w:rPr>
              <w:t>Evidence that supports this approach</w:t>
            </w:r>
          </w:p>
        </w:tc>
        <w:tc>
          <w:tcPr>
            <w:tcW w:w="155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5132F6" w:rsidRDefault="009D71E8">
            <w:pPr>
              <w:pStyle w:val="TableHeader"/>
              <w:jc w:val="left"/>
              <w:rPr>
                <w:sz w:val="22"/>
                <w:szCs w:val="22"/>
              </w:rPr>
            </w:pPr>
            <w:r w:rsidRPr="005132F6">
              <w:rPr>
                <w:sz w:val="22"/>
                <w:szCs w:val="22"/>
              </w:rPr>
              <w:t>Challenge number(s) addressed</w:t>
            </w:r>
          </w:p>
        </w:tc>
      </w:tr>
      <w:tr w:rsidR="00723691" w14:paraId="2A7D551D" w14:textId="77777777" w:rsidTr="007B1504">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51D1A" w14:textId="77777777" w:rsidR="00723691" w:rsidRDefault="001F487D" w:rsidP="00723691">
            <w:pPr>
              <w:pStyle w:val="TableRow"/>
              <w:ind w:left="0"/>
              <w:rPr>
                <w:sz w:val="22"/>
                <w:szCs w:val="22"/>
              </w:rPr>
            </w:pPr>
            <w:r>
              <w:rPr>
                <w:sz w:val="22"/>
                <w:szCs w:val="22"/>
              </w:rPr>
              <w:t xml:space="preserve">Quality first teaching by providing CPD in </w:t>
            </w:r>
            <w:r w:rsidR="00633E25">
              <w:rPr>
                <w:sz w:val="22"/>
                <w:szCs w:val="22"/>
              </w:rPr>
              <w:t>oracy.</w:t>
            </w:r>
          </w:p>
          <w:p w14:paraId="24290832" w14:textId="77777777" w:rsidR="00633E25" w:rsidRDefault="00633E25" w:rsidP="00723691">
            <w:pPr>
              <w:pStyle w:val="TableRow"/>
              <w:ind w:left="0"/>
              <w:rPr>
                <w:sz w:val="22"/>
                <w:szCs w:val="22"/>
              </w:rPr>
            </w:pPr>
          </w:p>
          <w:p w14:paraId="038A3179" w14:textId="60F39BD8" w:rsidR="00633E25" w:rsidRDefault="00633E25" w:rsidP="00723691">
            <w:pPr>
              <w:pStyle w:val="TableRow"/>
              <w:ind w:left="0"/>
              <w:rPr>
                <w:sz w:val="22"/>
                <w:szCs w:val="22"/>
              </w:rPr>
            </w:pPr>
            <w:r>
              <w:rPr>
                <w:sz w:val="22"/>
                <w:szCs w:val="22"/>
              </w:rPr>
              <w:t>Implement an oracy rich learning environment</w:t>
            </w:r>
            <w:r w:rsidR="00AC1AF7">
              <w:rPr>
                <w:sz w:val="22"/>
                <w:szCs w:val="22"/>
              </w:rPr>
              <w:t>: sentence stems</w:t>
            </w:r>
            <w:r w:rsidR="00A97951">
              <w:rPr>
                <w:sz w:val="22"/>
                <w:szCs w:val="22"/>
              </w:rPr>
              <w:t>, working walls, subject specific vocabulary</w:t>
            </w:r>
            <w:r w:rsidR="00AE4420">
              <w:rPr>
                <w:sz w:val="22"/>
                <w:szCs w:val="22"/>
              </w:rPr>
              <w:t>.</w:t>
            </w:r>
          </w:p>
          <w:p w14:paraId="5091FBF6" w14:textId="77777777" w:rsidR="00AE4420" w:rsidRDefault="00AE4420" w:rsidP="00723691">
            <w:pPr>
              <w:pStyle w:val="TableRow"/>
              <w:ind w:left="0"/>
              <w:rPr>
                <w:sz w:val="22"/>
                <w:szCs w:val="22"/>
              </w:rPr>
            </w:pPr>
          </w:p>
          <w:p w14:paraId="2E602CB7" w14:textId="4DCE03A2" w:rsidR="00AE4420" w:rsidRDefault="00F064C6" w:rsidP="00723691">
            <w:pPr>
              <w:pStyle w:val="TableRow"/>
              <w:ind w:left="0"/>
              <w:rPr>
                <w:sz w:val="22"/>
                <w:szCs w:val="22"/>
              </w:rPr>
            </w:pPr>
            <w:r>
              <w:rPr>
                <w:sz w:val="22"/>
                <w:szCs w:val="22"/>
              </w:rPr>
              <w:t>Subject leaders plan for sentence stems and vocabulary.</w:t>
            </w:r>
          </w:p>
          <w:p w14:paraId="6CE32EEF" w14:textId="77777777" w:rsidR="00633E25" w:rsidRDefault="00633E25" w:rsidP="00723691">
            <w:pPr>
              <w:pStyle w:val="TableRow"/>
              <w:ind w:left="0"/>
              <w:rPr>
                <w:sz w:val="22"/>
                <w:szCs w:val="22"/>
              </w:rPr>
            </w:pPr>
          </w:p>
          <w:p w14:paraId="31748573" w14:textId="77777777" w:rsidR="0067288E" w:rsidRDefault="00633E25" w:rsidP="00723691">
            <w:pPr>
              <w:pStyle w:val="TableRow"/>
              <w:ind w:left="0"/>
              <w:rPr>
                <w:sz w:val="22"/>
                <w:szCs w:val="22"/>
              </w:rPr>
            </w:pPr>
            <w:r>
              <w:rPr>
                <w:sz w:val="22"/>
                <w:szCs w:val="22"/>
              </w:rPr>
              <w:t xml:space="preserve">Deliver communication and language interventions for children identified as requiring further </w:t>
            </w:r>
            <w:r w:rsidR="0067288E">
              <w:rPr>
                <w:sz w:val="22"/>
                <w:szCs w:val="22"/>
              </w:rPr>
              <w:t>support in this area using Talk Boost.</w:t>
            </w:r>
          </w:p>
          <w:p w14:paraId="00C0F9E1" w14:textId="77777777" w:rsidR="00F47E4E" w:rsidRDefault="00F47E4E" w:rsidP="00723691">
            <w:pPr>
              <w:pStyle w:val="TableRow"/>
              <w:ind w:left="0"/>
              <w:rPr>
                <w:sz w:val="22"/>
                <w:szCs w:val="22"/>
              </w:rPr>
            </w:pPr>
          </w:p>
          <w:p w14:paraId="2A7D551A" w14:textId="5A5E94E1" w:rsidR="00F47E4E" w:rsidRPr="005132F6" w:rsidRDefault="00F47E4E" w:rsidP="00723691">
            <w:pPr>
              <w:pStyle w:val="TableRow"/>
              <w:ind w:left="0"/>
              <w:rPr>
                <w:sz w:val="22"/>
                <w:szCs w:val="22"/>
              </w:rPr>
            </w:pPr>
            <w:r>
              <w:rPr>
                <w:sz w:val="22"/>
                <w:szCs w:val="22"/>
              </w:rPr>
              <w:t>Implement the Starling programme within Key Stage 2</w:t>
            </w:r>
          </w:p>
        </w:tc>
        <w:tc>
          <w:tcPr>
            <w:tcW w:w="5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F82D8" w14:textId="7D2267F8" w:rsidR="00A07FDE" w:rsidRDefault="00FA1D43" w:rsidP="00723691">
            <w:pPr>
              <w:pStyle w:val="TableRowCentered"/>
              <w:jc w:val="left"/>
              <w:rPr>
                <w:sz w:val="22"/>
                <w:szCs w:val="22"/>
              </w:rPr>
            </w:pPr>
            <w:r>
              <w:rPr>
                <w:sz w:val="22"/>
                <w:szCs w:val="22"/>
              </w:rPr>
              <w:t>Research by the Sutton Trust states: ‘The effects of high-quality teaching are</w:t>
            </w:r>
            <w:r w:rsidR="00B43137">
              <w:rPr>
                <w:sz w:val="22"/>
                <w:szCs w:val="22"/>
              </w:rPr>
              <w:t xml:space="preserve"> especially significant for pupils from disadvantaged backgrounds; over a school year, these pupils gain 1.5 </w:t>
            </w:r>
            <w:r w:rsidR="00CF7F35">
              <w:rPr>
                <w:sz w:val="22"/>
                <w:szCs w:val="22"/>
              </w:rPr>
              <w:t>years’ worth</w:t>
            </w:r>
            <w:r w:rsidR="00B43137">
              <w:rPr>
                <w:sz w:val="22"/>
                <w:szCs w:val="22"/>
              </w:rPr>
              <w:t xml:space="preserve"> o</w:t>
            </w:r>
            <w:r w:rsidR="00CF7F35">
              <w:rPr>
                <w:sz w:val="22"/>
                <w:szCs w:val="22"/>
              </w:rPr>
              <w:t>f learning with very effective teachers.</w:t>
            </w:r>
          </w:p>
          <w:p w14:paraId="37230E2D" w14:textId="77777777" w:rsidR="00A07FDE" w:rsidRDefault="00A07FDE" w:rsidP="00723691">
            <w:pPr>
              <w:pStyle w:val="TableRowCentered"/>
              <w:jc w:val="left"/>
              <w:rPr>
                <w:sz w:val="22"/>
                <w:szCs w:val="22"/>
              </w:rPr>
            </w:pPr>
          </w:p>
          <w:p w14:paraId="1D33B2FC" w14:textId="4EEB6233" w:rsidR="00F17657" w:rsidRDefault="001509FF" w:rsidP="00723691">
            <w:pPr>
              <w:pStyle w:val="TableRowCentered"/>
              <w:jc w:val="left"/>
              <w:rPr>
                <w:sz w:val="22"/>
                <w:szCs w:val="22"/>
              </w:rPr>
            </w:pPr>
            <w:r>
              <w:rPr>
                <w:sz w:val="22"/>
                <w:szCs w:val="22"/>
              </w:rPr>
              <w:t xml:space="preserve">Speech and communication </w:t>
            </w:r>
            <w:proofErr w:type="gramStart"/>
            <w:r>
              <w:rPr>
                <w:sz w:val="22"/>
                <w:szCs w:val="22"/>
              </w:rPr>
              <w:t>lies</w:t>
            </w:r>
            <w:proofErr w:type="gramEnd"/>
            <w:r>
              <w:rPr>
                <w:sz w:val="22"/>
                <w:szCs w:val="22"/>
              </w:rPr>
              <w:t xml:space="preserve"> at the heart of classroom practice.  It is the predominant way in which teachers provide instruction and support to their students and is central to how must students engage with the curriculum</w:t>
            </w:r>
            <w:r w:rsidR="00B258A7">
              <w:rPr>
                <w:sz w:val="22"/>
                <w:szCs w:val="22"/>
              </w:rPr>
              <w:t>.  Without strong communication strategies pupils struggle to articulate their learning, challenges their facing, misconceptions they have or manage their feelings and emotions</w:t>
            </w:r>
            <w:r w:rsidR="00117BC5">
              <w:rPr>
                <w:sz w:val="22"/>
                <w:szCs w:val="22"/>
              </w:rPr>
              <w:t>.  An oracy rich curriculum with additional interventions to support pupils lacking in the 4 areas of oracy can impact holistically on pupils’ attainment and wellbeing.</w:t>
            </w:r>
          </w:p>
          <w:p w14:paraId="032B0B5B" w14:textId="77777777" w:rsidR="00A041F9" w:rsidRDefault="00A041F9" w:rsidP="00723691">
            <w:pPr>
              <w:pStyle w:val="TableRowCentered"/>
              <w:jc w:val="left"/>
              <w:rPr>
                <w:sz w:val="22"/>
                <w:szCs w:val="22"/>
              </w:rPr>
            </w:pPr>
          </w:p>
          <w:p w14:paraId="4B0CDFA5" w14:textId="636623CB" w:rsidR="00723691" w:rsidRDefault="00521DDB" w:rsidP="00723691">
            <w:pPr>
              <w:pStyle w:val="TableRowCentered"/>
              <w:jc w:val="left"/>
              <w:rPr>
                <w:sz w:val="22"/>
                <w:szCs w:val="22"/>
              </w:rPr>
            </w:pPr>
            <w:r>
              <w:rPr>
                <w:sz w:val="22"/>
                <w:szCs w:val="22"/>
              </w:rPr>
              <w:t>Oral language approaches have a high impact on pupil outcomes</w:t>
            </w:r>
            <w:r w:rsidR="00D65715">
              <w:rPr>
                <w:sz w:val="22"/>
                <w:szCs w:val="22"/>
              </w:rPr>
              <w:t xml:space="preserve">.  The Education Endowment Foundation found that oral language approaches made an additional 6 months of </w:t>
            </w:r>
            <w:r w:rsidR="001A3FF0">
              <w:rPr>
                <w:sz w:val="22"/>
                <w:szCs w:val="22"/>
              </w:rPr>
              <w:t>progress for children.</w:t>
            </w:r>
          </w:p>
          <w:p w14:paraId="5AC8C3AC" w14:textId="77777777" w:rsidR="00954A79" w:rsidRDefault="00954A79" w:rsidP="00723691">
            <w:pPr>
              <w:pStyle w:val="TableRowCentered"/>
              <w:jc w:val="left"/>
              <w:rPr>
                <w:sz w:val="22"/>
                <w:szCs w:val="22"/>
              </w:rPr>
            </w:pPr>
          </w:p>
          <w:p w14:paraId="2A7D551B" w14:textId="635F2AD1" w:rsidR="00954A79" w:rsidRPr="005132F6" w:rsidRDefault="00954A79" w:rsidP="00CF7F35">
            <w:pPr>
              <w:pStyle w:val="TableRowCentered"/>
              <w:jc w:val="left"/>
              <w:rPr>
                <w:sz w:val="22"/>
                <w:szCs w:val="22"/>
              </w:rPr>
            </w:pPr>
            <w:hyperlink r:id="rId9" w:history="1">
              <w:r w:rsidRPr="00220E5D">
                <w:rPr>
                  <w:rStyle w:val="Hyperlink"/>
                  <w:sz w:val="22"/>
                  <w:szCs w:val="22"/>
                </w:rPr>
                <w:t>https://educationendowmentfoundation.org.uk/education-evidence/teaching-learning-toolkit/oral-language-interventions</w:t>
              </w:r>
            </w:hyperlink>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382FF273" w:rsidR="00723691" w:rsidRPr="005132F6" w:rsidRDefault="00723691" w:rsidP="00723691">
            <w:pPr>
              <w:pStyle w:val="TableRowCentered"/>
              <w:jc w:val="left"/>
              <w:rPr>
                <w:sz w:val="22"/>
                <w:szCs w:val="22"/>
              </w:rPr>
            </w:pPr>
            <w:r w:rsidRPr="005132F6">
              <w:rPr>
                <w:sz w:val="22"/>
                <w:szCs w:val="22"/>
              </w:rPr>
              <w:t>1</w:t>
            </w:r>
            <w:r w:rsidR="00B54278">
              <w:rPr>
                <w:sz w:val="22"/>
                <w:szCs w:val="22"/>
              </w:rPr>
              <w:t>, 2</w:t>
            </w:r>
            <w:r w:rsidR="00E8573F">
              <w:rPr>
                <w:sz w:val="22"/>
                <w:szCs w:val="22"/>
              </w:rPr>
              <w:t>, 4</w:t>
            </w:r>
            <w:r w:rsidR="004C1FEE">
              <w:rPr>
                <w:sz w:val="22"/>
                <w:szCs w:val="22"/>
              </w:rPr>
              <w:t>, 6</w:t>
            </w:r>
          </w:p>
        </w:tc>
      </w:tr>
      <w:tr w:rsidR="0023283B" w14:paraId="146561B2" w14:textId="77777777" w:rsidTr="007B1504">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CDF8F" w14:textId="77777777" w:rsidR="0023283B" w:rsidRDefault="00B54278" w:rsidP="00723691">
            <w:pPr>
              <w:pStyle w:val="TableRow"/>
              <w:ind w:left="0"/>
              <w:rPr>
                <w:sz w:val="22"/>
                <w:szCs w:val="22"/>
              </w:rPr>
            </w:pPr>
            <w:r>
              <w:rPr>
                <w:sz w:val="22"/>
                <w:szCs w:val="22"/>
              </w:rPr>
              <w:t xml:space="preserve">Quality first teaching by providing CPD in </w:t>
            </w:r>
            <w:r w:rsidR="00C8611B">
              <w:rPr>
                <w:sz w:val="22"/>
                <w:szCs w:val="22"/>
              </w:rPr>
              <w:t>writing.</w:t>
            </w:r>
          </w:p>
          <w:p w14:paraId="68D076FC" w14:textId="77777777" w:rsidR="00C8611B" w:rsidRDefault="00C8611B" w:rsidP="00723691">
            <w:pPr>
              <w:pStyle w:val="TableRow"/>
              <w:ind w:left="0"/>
              <w:rPr>
                <w:sz w:val="22"/>
                <w:szCs w:val="22"/>
              </w:rPr>
            </w:pPr>
            <w:r>
              <w:rPr>
                <w:sz w:val="22"/>
                <w:szCs w:val="22"/>
              </w:rPr>
              <w:t>Strands of writing:</w:t>
            </w:r>
          </w:p>
          <w:p w14:paraId="23BA143B" w14:textId="00287DA1" w:rsidR="00C8611B" w:rsidRDefault="00C8611B" w:rsidP="00C8611B">
            <w:pPr>
              <w:pStyle w:val="TableRow"/>
              <w:numPr>
                <w:ilvl w:val="0"/>
                <w:numId w:val="19"/>
              </w:numPr>
              <w:rPr>
                <w:sz w:val="22"/>
                <w:szCs w:val="22"/>
              </w:rPr>
            </w:pPr>
            <w:r>
              <w:rPr>
                <w:sz w:val="22"/>
                <w:szCs w:val="22"/>
              </w:rPr>
              <w:t>Composition</w:t>
            </w:r>
          </w:p>
          <w:p w14:paraId="5CA28225" w14:textId="616FE6A4" w:rsidR="00C8611B" w:rsidRDefault="00C8611B" w:rsidP="00C8611B">
            <w:pPr>
              <w:pStyle w:val="TableRow"/>
              <w:numPr>
                <w:ilvl w:val="0"/>
                <w:numId w:val="19"/>
              </w:numPr>
              <w:rPr>
                <w:sz w:val="22"/>
                <w:szCs w:val="22"/>
              </w:rPr>
            </w:pPr>
            <w:r>
              <w:rPr>
                <w:sz w:val="22"/>
                <w:szCs w:val="22"/>
              </w:rPr>
              <w:t>Handwriting</w:t>
            </w:r>
          </w:p>
          <w:p w14:paraId="5DCED338" w14:textId="471CA58F" w:rsidR="00A613A1" w:rsidRDefault="00A613A1" w:rsidP="00C8611B">
            <w:pPr>
              <w:pStyle w:val="TableRow"/>
              <w:numPr>
                <w:ilvl w:val="0"/>
                <w:numId w:val="19"/>
              </w:numPr>
              <w:rPr>
                <w:sz w:val="22"/>
                <w:szCs w:val="22"/>
              </w:rPr>
            </w:pPr>
            <w:r>
              <w:rPr>
                <w:sz w:val="22"/>
                <w:szCs w:val="22"/>
              </w:rPr>
              <w:t>Sentence level</w:t>
            </w:r>
          </w:p>
          <w:p w14:paraId="40AAC762" w14:textId="77777777" w:rsidR="00C8611B" w:rsidRDefault="00C8611B" w:rsidP="00C8611B">
            <w:pPr>
              <w:pStyle w:val="TableRow"/>
              <w:numPr>
                <w:ilvl w:val="0"/>
                <w:numId w:val="19"/>
              </w:numPr>
              <w:rPr>
                <w:sz w:val="22"/>
                <w:szCs w:val="22"/>
              </w:rPr>
            </w:pPr>
            <w:r>
              <w:rPr>
                <w:sz w:val="22"/>
                <w:szCs w:val="22"/>
              </w:rPr>
              <w:t xml:space="preserve">Spelling </w:t>
            </w:r>
          </w:p>
          <w:p w14:paraId="4507965D" w14:textId="77777777" w:rsidR="009A1FA4" w:rsidRDefault="009A1FA4" w:rsidP="00C8611B">
            <w:pPr>
              <w:pStyle w:val="TableRow"/>
              <w:numPr>
                <w:ilvl w:val="0"/>
                <w:numId w:val="19"/>
              </w:numPr>
              <w:rPr>
                <w:sz w:val="22"/>
                <w:szCs w:val="22"/>
              </w:rPr>
            </w:pPr>
            <w:r>
              <w:rPr>
                <w:sz w:val="22"/>
                <w:szCs w:val="22"/>
              </w:rPr>
              <w:t>Active English into Key Stage 2</w:t>
            </w:r>
          </w:p>
          <w:p w14:paraId="75934463" w14:textId="2A3D2618" w:rsidR="00172781" w:rsidRDefault="00172781" w:rsidP="00C8611B">
            <w:pPr>
              <w:pStyle w:val="TableRow"/>
              <w:numPr>
                <w:ilvl w:val="0"/>
                <w:numId w:val="19"/>
              </w:numPr>
              <w:rPr>
                <w:sz w:val="22"/>
                <w:szCs w:val="22"/>
              </w:rPr>
            </w:pPr>
            <w:r>
              <w:rPr>
                <w:sz w:val="22"/>
                <w:szCs w:val="22"/>
              </w:rPr>
              <w:t>Phonics including pre-phonics</w:t>
            </w:r>
          </w:p>
        </w:tc>
        <w:tc>
          <w:tcPr>
            <w:tcW w:w="5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8BEC" w14:textId="77777777" w:rsidR="00400B70" w:rsidRDefault="00400B70" w:rsidP="00400B70">
            <w:pPr>
              <w:pStyle w:val="TableRowCentered"/>
              <w:jc w:val="left"/>
              <w:rPr>
                <w:sz w:val="22"/>
                <w:szCs w:val="22"/>
              </w:rPr>
            </w:pPr>
            <w:r>
              <w:rPr>
                <w:sz w:val="22"/>
                <w:szCs w:val="22"/>
              </w:rPr>
              <w:t>Research by the Sutton Trust states: ‘The effects of high-quality teaching are especially significant for pupils from disadvantaged backgrounds; over a school year, these pupils gain 1.5 years’ worth of learning with very effective teachers.</w:t>
            </w:r>
          </w:p>
          <w:p w14:paraId="67F47139" w14:textId="77777777" w:rsidR="00400B70" w:rsidRDefault="00400B70" w:rsidP="003320F7">
            <w:pPr>
              <w:pStyle w:val="TableRowCentered"/>
              <w:jc w:val="left"/>
              <w:rPr>
                <w:sz w:val="22"/>
                <w:szCs w:val="22"/>
              </w:rPr>
            </w:pPr>
          </w:p>
          <w:p w14:paraId="497035C9" w14:textId="2CFC5923" w:rsidR="003320F7" w:rsidRPr="005132F6" w:rsidRDefault="003320F7" w:rsidP="003320F7">
            <w:pPr>
              <w:pStyle w:val="TableRowCentered"/>
              <w:jc w:val="left"/>
              <w:rPr>
                <w:sz w:val="22"/>
                <w:szCs w:val="22"/>
              </w:rPr>
            </w:pPr>
            <w:r w:rsidRPr="005132F6">
              <w:rPr>
                <w:sz w:val="22"/>
                <w:szCs w:val="22"/>
              </w:rPr>
              <w:t xml:space="preserve">The Education Endowment Foundation (EEF) has found that fluent writing supports composition because pupils’ cognitive resources are freed from focusing on handwriting, spelling, and sentence construction and can be redirected towards writing composition. </w:t>
            </w:r>
            <w:proofErr w:type="gramStart"/>
            <w:r w:rsidRPr="005132F6">
              <w:rPr>
                <w:sz w:val="22"/>
                <w:szCs w:val="22"/>
              </w:rPr>
              <w:t>Thus</w:t>
            </w:r>
            <w:proofErr w:type="gramEnd"/>
            <w:r w:rsidRPr="005132F6">
              <w:rPr>
                <w:sz w:val="22"/>
                <w:szCs w:val="22"/>
              </w:rPr>
              <w:t xml:space="preserve"> a clear spelling strategy across school is required to free our children from the cognitive load of spelling.</w:t>
            </w:r>
          </w:p>
          <w:p w14:paraId="2DB388AC" w14:textId="70CC3B0E" w:rsidR="0023283B" w:rsidRPr="005132F6" w:rsidRDefault="003320F7" w:rsidP="003320F7">
            <w:pPr>
              <w:pStyle w:val="TableRowCentered"/>
              <w:jc w:val="left"/>
              <w:rPr>
                <w:sz w:val="22"/>
                <w:szCs w:val="22"/>
              </w:rPr>
            </w:pPr>
            <w:hyperlink r:id="rId10" w:history="1">
              <w:r w:rsidRPr="005132F6">
                <w:rPr>
                  <w:rStyle w:val="Hyperlink"/>
                  <w:sz w:val="22"/>
                  <w:szCs w:val="22"/>
                </w:rPr>
                <w:t>https://educationendowmentfoundation.org.uk/education-evidence/guidance-reports/literacy-ks2</w:t>
              </w:r>
            </w:hyperlink>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EE7F4" w14:textId="3EBCFAE5" w:rsidR="0023283B" w:rsidRPr="005132F6" w:rsidRDefault="00E638F6" w:rsidP="00A84199">
            <w:pPr>
              <w:pStyle w:val="TableRowCentered"/>
              <w:ind w:left="0"/>
              <w:jc w:val="left"/>
              <w:rPr>
                <w:sz w:val="22"/>
                <w:szCs w:val="22"/>
              </w:rPr>
            </w:pPr>
            <w:r>
              <w:rPr>
                <w:sz w:val="22"/>
                <w:szCs w:val="22"/>
              </w:rPr>
              <w:t xml:space="preserve">1, </w:t>
            </w:r>
            <w:r w:rsidR="00B250E4">
              <w:rPr>
                <w:sz w:val="22"/>
                <w:szCs w:val="22"/>
              </w:rPr>
              <w:t>2</w:t>
            </w:r>
            <w:r w:rsidR="004C1FEE">
              <w:rPr>
                <w:sz w:val="22"/>
                <w:szCs w:val="22"/>
              </w:rPr>
              <w:t>, 6</w:t>
            </w:r>
          </w:p>
        </w:tc>
      </w:tr>
      <w:tr w:rsidR="00CC54FA" w14:paraId="74F8EB2D" w14:textId="77777777" w:rsidTr="007B1504">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7ABB6" w14:textId="77777777" w:rsidR="00CC54FA" w:rsidRDefault="00CC54FA" w:rsidP="00CC54FA">
            <w:pPr>
              <w:pStyle w:val="TableRow"/>
              <w:ind w:left="0"/>
              <w:rPr>
                <w:sz w:val="22"/>
                <w:szCs w:val="22"/>
              </w:rPr>
            </w:pPr>
            <w:r>
              <w:rPr>
                <w:sz w:val="22"/>
                <w:szCs w:val="22"/>
              </w:rPr>
              <w:t>Quality first teaching by providing CPD in mathematics:</w:t>
            </w:r>
          </w:p>
          <w:p w14:paraId="119C837F" w14:textId="221BCD7D" w:rsidR="00CC54FA" w:rsidRDefault="00CC54FA" w:rsidP="00CC54FA">
            <w:pPr>
              <w:pStyle w:val="TableRow"/>
              <w:numPr>
                <w:ilvl w:val="0"/>
                <w:numId w:val="30"/>
              </w:numPr>
              <w:rPr>
                <w:sz w:val="22"/>
                <w:szCs w:val="22"/>
              </w:rPr>
            </w:pPr>
            <w:r>
              <w:rPr>
                <w:sz w:val="22"/>
                <w:szCs w:val="22"/>
              </w:rPr>
              <w:t>Child development in different areas of maths</w:t>
            </w:r>
          </w:p>
          <w:p w14:paraId="6A223BEC" w14:textId="75AD753D" w:rsidR="00CC54FA" w:rsidRDefault="00CC54FA" w:rsidP="00CC54FA">
            <w:pPr>
              <w:pStyle w:val="TableRow"/>
              <w:numPr>
                <w:ilvl w:val="0"/>
                <w:numId w:val="30"/>
              </w:numPr>
              <w:rPr>
                <w:sz w:val="22"/>
                <w:szCs w:val="22"/>
              </w:rPr>
            </w:pPr>
            <w:r>
              <w:rPr>
                <w:sz w:val="22"/>
                <w:szCs w:val="22"/>
              </w:rPr>
              <w:t>Consistency and progression of vocabulary and sentence stems</w:t>
            </w:r>
          </w:p>
        </w:tc>
        <w:tc>
          <w:tcPr>
            <w:tcW w:w="5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646FB" w14:textId="77777777" w:rsidR="00CC54FA" w:rsidRDefault="00CC54FA" w:rsidP="00CC54FA">
            <w:pPr>
              <w:pStyle w:val="TableRowCentered"/>
              <w:jc w:val="left"/>
              <w:rPr>
                <w:sz w:val="22"/>
                <w:szCs w:val="22"/>
              </w:rPr>
            </w:pPr>
            <w:r>
              <w:rPr>
                <w:sz w:val="22"/>
                <w:szCs w:val="22"/>
              </w:rPr>
              <w:t>Research by the Sutton Trust states: ‘The effects of high-quality teaching are especially significant for pupils from disadvantaged backgrounds; over a school year, these pupils gain 1.5 years’ worth of learning with very effective teachers.</w:t>
            </w:r>
          </w:p>
          <w:p w14:paraId="1CB12719" w14:textId="77777777" w:rsidR="00CC54FA" w:rsidRDefault="00CC54FA" w:rsidP="00CC54FA">
            <w:pPr>
              <w:pStyle w:val="TableRowCentered"/>
              <w:jc w:val="left"/>
              <w:rPr>
                <w:sz w:val="22"/>
                <w:szCs w:val="22"/>
              </w:rPr>
            </w:pPr>
          </w:p>
          <w:p w14:paraId="020174D2" w14:textId="28517598" w:rsidR="00CC54FA" w:rsidRDefault="00CC54FA" w:rsidP="00CC54FA">
            <w:pPr>
              <w:pStyle w:val="TableRowCentered"/>
              <w:jc w:val="left"/>
              <w:rPr>
                <w:sz w:val="22"/>
                <w:szCs w:val="22"/>
              </w:rPr>
            </w:pPr>
            <w:hyperlink r:id="rId11" w:history="1">
              <w:r w:rsidRPr="00647EE4">
                <w:rPr>
                  <w:rStyle w:val="Hyperlink"/>
                  <w:sz w:val="22"/>
                  <w:szCs w:val="22"/>
                </w:rPr>
                <w:t>https://educationendowmentfoundation.org.uk/education-evidence/guidance-reports/early-maths</w:t>
              </w:r>
            </w:hyperlink>
          </w:p>
          <w:p w14:paraId="3B263AF4" w14:textId="77777777" w:rsidR="00CC54FA" w:rsidRDefault="00CC54FA" w:rsidP="00CC54FA">
            <w:pPr>
              <w:pStyle w:val="TableRowCentered"/>
              <w:jc w:val="left"/>
              <w:rPr>
                <w:sz w:val="22"/>
                <w:szCs w:val="22"/>
              </w:rPr>
            </w:pPr>
          </w:p>
          <w:p w14:paraId="1B510285" w14:textId="529428D7" w:rsidR="00CC54FA" w:rsidRDefault="00CC54FA" w:rsidP="00CC54FA">
            <w:pPr>
              <w:pStyle w:val="TableRowCentered"/>
              <w:jc w:val="left"/>
              <w:rPr>
                <w:sz w:val="22"/>
                <w:szCs w:val="22"/>
              </w:rPr>
            </w:pPr>
            <w:hyperlink r:id="rId12" w:history="1">
              <w:r w:rsidRPr="00647EE4">
                <w:rPr>
                  <w:rStyle w:val="Hyperlink"/>
                  <w:sz w:val="22"/>
                  <w:szCs w:val="22"/>
                </w:rPr>
                <w:t>https://educationendowmentfoundation.org.uk/education-evidence/guidance-reports/maths-ks-2-3</w:t>
              </w:r>
            </w:hyperlink>
          </w:p>
          <w:p w14:paraId="3E61BDF4" w14:textId="42A6A4B4" w:rsidR="00CC54FA" w:rsidRDefault="00CC54FA" w:rsidP="00CC54FA">
            <w:pPr>
              <w:pStyle w:val="TableRowCentered"/>
              <w:jc w:val="left"/>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0FEB9" w14:textId="767BB96A" w:rsidR="00CC54FA" w:rsidRDefault="00CC54FA" w:rsidP="00CC54FA">
            <w:pPr>
              <w:pStyle w:val="TableRowCentered"/>
              <w:ind w:left="0"/>
              <w:jc w:val="left"/>
              <w:rPr>
                <w:sz w:val="22"/>
                <w:szCs w:val="22"/>
              </w:rPr>
            </w:pPr>
            <w:r>
              <w:rPr>
                <w:sz w:val="22"/>
                <w:szCs w:val="22"/>
              </w:rPr>
              <w:t>1, 2, 6</w:t>
            </w:r>
          </w:p>
        </w:tc>
      </w:tr>
      <w:tr w:rsidR="00CC54FA" w14:paraId="2A7D5521" w14:textId="77777777" w:rsidTr="007B1504">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B2EE0" w14:textId="74F84586" w:rsidR="00CC54FA" w:rsidRDefault="00CC54FA" w:rsidP="00CC54FA">
            <w:pPr>
              <w:pStyle w:val="TableRow"/>
              <w:ind w:left="0"/>
              <w:rPr>
                <w:sz w:val="22"/>
                <w:szCs w:val="22"/>
              </w:rPr>
            </w:pPr>
            <w:r>
              <w:rPr>
                <w:sz w:val="22"/>
                <w:szCs w:val="22"/>
              </w:rPr>
              <w:t xml:space="preserve">Teachers identify in pupil progress meetings PP children who are greater </w:t>
            </w:r>
            <w:proofErr w:type="gramStart"/>
            <w:r>
              <w:rPr>
                <w:sz w:val="22"/>
                <w:szCs w:val="22"/>
              </w:rPr>
              <w:t>depth  or</w:t>
            </w:r>
            <w:proofErr w:type="gramEnd"/>
            <w:r>
              <w:rPr>
                <w:sz w:val="22"/>
                <w:szCs w:val="22"/>
              </w:rPr>
              <w:t xml:space="preserve"> target children and ensure barriers are identified, sought to remove to enable them to succeed.  </w:t>
            </w:r>
          </w:p>
          <w:p w14:paraId="2AF064C4" w14:textId="77777777" w:rsidR="00CC54FA" w:rsidRDefault="00CC54FA" w:rsidP="00CC54FA">
            <w:pPr>
              <w:pStyle w:val="TableRow"/>
              <w:ind w:left="0"/>
              <w:rPr>
                <w:sz w:val="22"/>
                <w:szCs w:val="22"/>
              </w:rPr>
            </w:pPr>
          </w:p>
          <w:p w14:paraId="6A0F4177" w14:textId="425AD7F1" w:rsidR="00CC54FA" w:rsidRDefault="00CC54FA" w:rsidP="00CC54FA">
            <w:pPr>
              <w:pStyle w:val="TableRow"/>
              <w:ind w:left="0"/>
              <w:rPr>
                <w:sz w:val="22"/>
                <w:szCs w:val="22"/>
              </w:rPr>
            </w:pPr>
            <w:r>
              <w:rPr>
                <w:sz w:val="22"/>
                <w:szCs w:val="22"/>
              </w:rPr>
              <w:t xml:space="preserve">The quality first teaching is needed to ensure strengthening and deepening is occurring in lessons and is monitored through book looks and pupil voice.  </w:t>
            </w:r>
          </w:p>
          <w:p w14:paraId="0D650659" w14:textId="77777777" w:rsidR="00CC54FA" w:rsidRDefault="00CC54FA" w:rsidP="00CC54FA">
            <w:pPr>
              <w:pStyle w:val="TableRow"/>
              <w:ind w:left="0"/>
              <w:rPr>
                <w:sz w:val="22"/>
                <w:szCs w:val="22"/>
              </w:rPr>
            </w:pPr>
          </w:p>
          <w:p w14:paraId="30716251" w14:textId="4A32CB5E" w:rsidR="00CC54FA" w:rsidRDefault="00CC54FA" w:rsidP="00CC54FA">
            <w:pPr>
              <w:pStyle w:val="TableRow"/>
              <w:ind w:left="0"/>
              <w:rPr>
                <w:sz w:val="22"/>
                <w:szCs w:val="22"/>
              </w:rPr>
            </w:pPr>
            <w:r>
              <w:rPr>
                <w:sz w:val="22"/>
                <w:szCs w:val="22"/>
              </w:rPr>
              <w:t>Curriculum leaders plan for retrieval and sticky knowledge.</w:t>
            </w:r>
          </w:p>
          <w:p w14:paraId="26608706" w14:textId="77777777" w:rsidR="00CC54FA" w:rsidRDefault="00CC54FA" w:rsidP="00CC54FA">
            <w:pPr>
              <w:pStyle w:val="TableRow"/>
              <w:ind w:left="0"/>
              <w:rPr>
                <w:sz w:val="22"/>
                <w:szCs w:val="22"/>
              </w:rPr>
            </w:pPr>
          </w:p>
          <w:p w14:paraId="2A7D551E" w14:textId="5EC5D3F0" w:rsidR="00CC54FA" w:rsidRPr="008A2F33" w:rsidRDefault="00CC54FA" w:rsidP="00CC54FA">
            <w:pPr>
              <w:pStyle w:val="TableRow"/>
              <w:ind w:left="0"/>
              <w:rPr>
                <w:sz w:val="22"/>
                <w:szCs w:val="22"/>
              </w:rPr>
            </w:pPr>
            <w:r>
              <w:rPr>
                <w:sz w:val="22"/>
                <w:szCs w:val="22"/>
              </w:rPr>
              <w:t>Teachers are clear on the ‘sticky knowledge’ that needs to be mastered from the units of work.</w:t>
            </w:r>
          </w:p>
        </w:tc>
        <w:tc>
          <w:tcPr>
            <w:tcW w:w="5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077E1" w14:textId="77777777" w:rsidR="00CC54FA" w:rsidRDefault="00CC54FA" w:rsidP="00CC54FA">
            <w:pPr>
              <w:pStyle w:val="TableRowCentered"/>
              <w:jc w:val="left"/>
              <w:rPr>
                <w:sz w:val="22"/>
                <w:szCs w:val="22"/>
              </w:rPr>
            </w:pPr>
            <w:r>
              <w:rPr>
                <w:sz w:val="22"/>
                <w:szCs w:val="22"/>
              </w:rPr>
              <w:t>Research by the Sutton Trust states: ‘The effects of high-quality teaching are especially significant for pupils from disadvantaged backgrounds; over a school year, these pupils gain 1.5 years’ worth of learning with very effective teachers.</w:t>
            </w:r>
          </w:p>
          <w:p w14:paraId="6F4EC58D" w14:textId="77777777" w:rsidR="00CC54FA" w:rsidRDefault="00CC54FA" w:rsidP="00CC54FA">
            <w:pPr>
              <w:pStyle w:val="TableRowCentered"/>
              <w:jc w:val="left"/>
              <w:rPr>
                <w:sz w:val="22"/>
                <w:szCs w:val="22"/>
              </w:rPr>
            </w:pPr>
          </w:p>
          <w:p w14:paraId="0B8DF58F" w14:textId="3E0A6815" w:rsidR="00CC54FA" w:rsidRDefault="00CC54FA" w:rsidP="00CC54FA">
            <w:pPr>
              <w:pStyle w:val="TableRowCentered"/>
              <w:jc w:val="left"/>
              <w:rPr>
                <w:sz w:val="22"/>
                <w:szCs w:val="22"/>
              </w:rPr>
            </w:pPr>
            <w:r w:rsidRPr="00A56F4B">
              <w:rPr>
                <w:sz w:val="22"/>
                <w:szCs w:val="22"/>
              </w:rPr>
              <w:t>The impact of mastery learning approaches is an additional five-month progress, on average, over the course of a year. There is a lot of variation behind this average. It seems to be important that a high bar is set for achievement of ‘mastery’ (usually 80% to 90% on the relevant test). By contrast, the approach appears to be much less effective when pupils work at their own pace. Mastery learning also appears to be particularly effective when pupils are given opportunities to work in groups or teams and take responsibility for supporting each other’s progress.</w:t>
            </w:r>
          </w:p>
          <w:p w14:paraId="03BEA991" w14:textId="77777777" w:rsidR="00CC54FA" w:rsidRDefault="00CC54FA" w:rsidP="00CC54FA">
            <w:pPr>
              <w:pStyle w:val="TableRowCentered"/>
              <w:jc w:val="left"/>
              <w:rPr>
                <w:sz w:val="22"/>
                <w:szCs w:val="22"/>
              </w:rPr>
            </w:pPr>
          </w:p>
          <w:p w14:paraId="5F65B98F" w14:textId="77777777" w:rsidR="00CC54FA" w:rsidRDefault="00CC54FA" w:rsidP="00CC54FA">
            <w:pPr>
              <w:pStyle w:val="TableRowCentered"/>
              <w:jc w:val="left"/>
              <w:rPr>
                <w:sz w:val="22"/>
                <w:szCs w:val="22"/>
              </w:rPr>
            </w:pPr>
          </w:p>
          <w:p w14:paraId="185C37DD" w14:textId="04521999" w:rsidR="00CC54FA" w:rsidRDefault="00CC54FA" w:rsidP="00CC54FA">
            <w:pPr>
              <w:pStyle w:val="TableRowCentered"/>
              <w:jc w:val="left"/>
              <w:rPr>
                <w:sz w:val="22"/>
                <w:szCs w:val="22"/>
              </w:rPr>
            </w:pPr>
            <w:hyperlink r:id="rId13" w:history="1">
              <w:r w:rsidRPr="00DE7C68">
                <w:rPr>
                  <w:rStyle w:val="Hyperlink"/>
                  <w:sz w:val="22"/>
                  <w:szCs w:val="22"/>
                </w:rPr>
                <w:t>https://educationendowmentfoundation.org.uk/education-evidence/teaching-learning-toolkit/mastery-learning</w:t>
              </w:r>
            </w:hyperlink>
          </w:p>
          <w:p w14:paraId="47C71EC3" w14:textId="77777777" w:rsidR="00CC54FA" w:rsidRDefault="00CC54FA" w:rsidP="00CC54FA">
            <w:pPr>
              <w:pStyle w:val="TableRowCentered"/>
              <w:jc w:val="left"/>
              <w:rPr>
                <w:sz w:val="22"/>
                <w:szCs w:val="22"/>
              </w:rPr>
            </w:pPr>
          </w:p>
          <w:p w14:paraId="1BE454EF" w14:textId="77777777" w:rsidR="00CC54FA" w:rsidRDefault="00CC54FA" w:rsidP="00CC54FA">
            <w:pPr>
              <w:pStyle w:val="TableRowCentered"/>
              <w:jc w:val="left"/>
              <w:rPr>
                <w:sz w:val="22"/>
                <w:szCs w:val="22"/>
              </w:rPr>
            </w:pPr>
          </w:p>
          <w:p w14:paraId="2A7D551F" w14:textId="771983A6" w:rsidR="00CC54FA" w:rsidRPr="005132F6" w:rsidRDefault="00CC54FA" w:rsidP="00CC54FA">
            <w:pPr>
              <w:pStyle w:val="TableRowCentered"/>
              <w:jc w:val="left"/>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789C52B0" w:rsidR="00CC54FA" w:rsidRPr="005132F6" w:rsidRDefault="00CC54FA" w:rsidP="00CC54FA">
            <w:pPr>
              <w:pStyle w:val="TableRowCentered"/>
              <w:jc w:val="left"/>
              <w:rPr>
                <w:sz w:val="22"/>
                <w:szCs w:val="22"/>
              </w:rPr>
            </w:pPr>
            <w:r>
              <w:rPr>
                <w:sz w:val="22"/>
                <w:szCs w:val="22"/>
              </w:rPr>
              <w:t xml:space="preserve">1, </w:t>
            </w:r>
            <w:r w:rsidRPr="005132F6">
              <w:rPr>
                <w:sz w:val="22"/>
                <w:szCs w:val="22"/>
              </w:rPr>
              <w:t>2</w:t>
            </w:r>
            <w:r>
              <w:rPr>
                <w:sz w:val="22"/>
                <w:szCs w:val="22"/>
              </w:rPr>
              <w:t>, 4, 6</w:t>
            </w:r>
          </w:p>
        </w:tc>
      </w:tr>
      <w:tr w:rsidR="00CC54FA" w14:paraId="254009E4" w14:textId="77777777" w:rsidTr="007B1504">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A19D5" w14:textId="31528CCA" w:rsidR="00CC54FA" w:rsidRDefault="00CC54FA" w:rsidP="00CC54FA">
            <w:pPr>
              <w:pStyle w:val="TableRow"/>
              <w:rPr>
                <w:sz w:val="22"/>
                <w:szCs w:val="22"/>
              </w:rPr>
            </w:pPr>
            <w:r>
              <w:rPr>
                <w:sz w:val="22"/>
                <w:szCs w:val="22"/>
              </w:rPr>
              <w:t>CPD regarding meeting the needs of our SEND pupils</w:t>
            </w:r>
          </w:p>
        </w:tc>
        <w:tc>
          <w:tcPr>
            <w:tcW w:w="5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C1570" w14:textId="77777777" w:rsidR="00CC54FA" w:rsidRDefault="00CC54FA" w:rsidP="00CC54FA">
            <w:pPr>
              <w:pStyle w:val="TableRowCentered"/>
              <w:jc w:val="left"/>
              <w:rPr>
                <w:sz w:val="22"/>
                <w:szCs w:val="22"/>
              </w:rPr>
            </w:pPr>
            <w:r>
              <w:rPr>
                <w:sz w:val="22"/>
                <w:szCs w:val="22"/>
              </w:rPr>
              <w:t>Research by the Sutton Trust states: ‘The effects of high-quality teaching are especially significant for pupils from disadvantaged backgrounds; over a school year, these pupils gain 1.5 years’ worth of learning with very effective teachers.</w:t>
            </w:r>
          </w:p>
          <w:p w14:paraId="437F0ED3" w14:textId="77777777" w:rsidR="00CC54FA" w:rsidRDefault="00CC54FA" w:rsidP="00CC54FA">
            <w:pPr>
              <w:pStyle w:val="TableRowCentered"/>
              <w:jc w:val="left"/>
              <w:rPr>
                <w:sz w:val="22"/>
                <w:szCs w:val="22"/>
              </w:rPr>
            </w:pPr>
          </w:p>
          <w:p w14:paraId="6F0123C6" w14:textId="106FBCEC" w:rsidR="00CC54FA" w:rsidRDefault="00CC54FA" w:rsidP="00CC54FA">
            <w:pPr>
              <w:pStyle w:val="TableRowCentered"/>
              <w:jc w:val="left"/>
              <w:rPr>
                <w:sz w:val="22"/>
                <w:szCs w:val="22"/>
              </w:rPr>
            </w:pPr>
            <w:r>
              <w:rPr>
                <w:sz w:val="22"/>
                <w:szCs w:val="22"/>
              </w:rPr>
              <w:t xml:space="preserve">Pupils with Special Educational Needs and Disability have the greatest need for excellent teaching and are entitled to provision that supports achievement at and enjoyment at school. </w:t>
            </w:r>
          </w:p>
          <w:p w14:paraId="2DCDE4E5" w14:textId="505F7519" w:rsidR="00CC54FA" w:rsidRDefault="00CC54FA" w:rsidP="00CC54FA">
            <w:pPr>
              <w:pStyle w:val="TableRowCentered"/>
              <w:jc w:val="left"/>
              <w:rPr>
                <w:sz w:val="22"/>
                <w:szCs w:val="22"/>
              </w:rPr>
            </w:pPr>
            <w:hyperlink r:id="rId14" w:history="1">
              <w:r>
                <w:rPr>
                  <w:rStyle w:val="Hyperlink"/>
                  <w:sz w:val="22"/>
                  <w:szCs w:val="22"/>
                </w:rPr>
                <w:t>EEF Special Educational Needs in Mainstream Schools</w:t>
              </w:r>
            </w:hyperlink>
          </w:p>
          <w:p w14:paraId="543DF38B" w14:textId="25656139" w:rsidR="00CC54FA" w:rsidRPr="005132F6" w:rsidRDefault="00CC54FA" w:rsidP="00CC54FA">
            <w:pPr>
              <w:pStyle w:val="TableRowCentered"/>
              <w:jc w:val="left"/>
              <w:rPr>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4FC4D" w14:textId="1491E9F7" w:rsidR="00CC54FA" w:rsidRDefault="00CC54FA" w:rsidP="00CC54FA">
            <w:pPr>
              <w:pStyle w:val="TableRowCentered"/>
              <w:jc w:val="left"/>
              <w:rPr>
                <w:sz w:val="22"/>
                <w:szCs w:val="22"/>
              </w:rPr>
            </w:pPr>
            <w:r>
              <w:rPr>
                <w:sz w:val="22"/>
                <w:szCs w:val="22"/>
              </w:rPr>
              <w:t>1, 2, 6</w:t>
            </w:r>
          </w:p>
        </w:tc>
      </w:tr>
      <w:tr w:rsidR="00CC54FA" w14:paraId="45F730EB" w14:textId="77777777" w:rsidTr="007B1504">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94268" w14:textId="54F182AC" w:rsidR="00CC54FA" w:rsidRPr="005132F6" w:rsidRDefault="00CC54FA" w:rsidP="00CC54FA">
            <w:pPr>
              <w:pStyle w:val="TableRow"/>
              <w:rPr>
                <w:sz w:val="22"/>
                <w:szCs w:val="22"/>
              </w:rPr>
            </w:pPr>
            <w:r w:rsidRPr="005132F6">
              <w:rPr>
                <w:sz w:val="22"/>
                <w:szCs w:val="22"/>
              </w:rPr>
              <w:t>Peer to peer coaching in teaching and learning</w:t>
            </w:r>
            <w:r>
              <w:rPr>
                <w:sz w:val="22"/>
                <w:szCs w:val="22"/>
              </w:rPr>
              <w:t xml:space="preserve"> including delivery of the ECT programme of study</w:t>
            </w:r>
          </w:p>
          <w:p w14:paraId="1A97E573" w14:textId="77777777" w:rsidR="00CC54FA" w:rsidRPr="005132F6" w:rsidRDefault="00CC54FA" w:rsidP="00CC54FA">
            <w:pPr>
              <w:pStyle w:val="TableRow"/>
              <w:rPr>
                <w:sz w:val="22"/>
                <w:szCs w:val="22"/>
              </w:rPr>
            </w:pPr>
          </w:p>
          <w:p w14:paraId="25727BA4" w14:textId="6EBFBDD7" w:rsidR="00CC54FA" w:rsidRPr="005132F6" w:rsidRDefault="00CC54FA" w:rsidP="00CC54FA">
            <w:pPr>
              <w:pStyle w:val="TableRow"/>
              <w:ind w:left="0"/>
              <w:rPr>
                <w:sz w:val="22"/>
                <w:szCs w:val="22"/>
              </w:rPr>
            </w:pPr>
          </w:p>
        </w:tc>
        <w:tc>
          <w:tcPr>
            <w:tcW w:w="5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E1109" w14:textId="77777777" w:rsidR="00CC54FA" w:rsidRPr="005132F6" w:rsidRDefault="00CC54FA" w:rsidP="00CC54FA">
            <w:pPr>
              <w:pStyle w:val="TableRowCentered"/>
              <w:jc w:val="left"/>
              <w:rPr>
                <w:sz w:val="22"/>
                <w:szCs w:val="22"/>
              </w:rPr>
            </w:pPr>
            <w:r w:rsidRPr="005132F6">
              <w:rPr>
                <w:sz w:val="22"/>
                <w:szCs w:val="22"/>
              </w:rPr>
              <w:t>Support from colleague to colleague of effective and highly effective teaching practice via observation, modelling, team teaching and professional dialogue leads to improved teaching and learning practice which in turn leads to better learning and learning outcomes.</w:t>
            </w:r>
          </w:p>
          <w:p w14:paraId="096A8BC4" w14:textId="765F2C89" w:rsidR="00CC54FA" w:rsidRPr="005132F6" w:rsidRDefault="00CC54FA" w:rsidP="00CC54FA">
            <w:pPr>
              <w:pStyle w:val="TableRowCentered"/>
              <w:jc w:val="left"/>
              <w:rPr>
                <w:sz w:val="22"/>
                <w:szCs w:val="22"/>
              </w:rPr>
            </w:pPr>
            <w:r w:rsidRPr="005132F6">
              <w:rPr>
                <w:sz w:val="22"/>
                <w:szCs w:val="22"/>
              </w:rPr>
              <w:t>Evidence from Cambridge International:</w:t>
            </w:r>
          </w:p>
          <w:p w14:paraId="6C21DF24" w14:textId="77777777" w:rsidR="00CC54FA" w:rsidRPr="005132F6" w:rsidRDefault="00CC54FA" w:rsidP="00CC54FA">
            <w:pPr>
              <w:pStyle w:val="TableRowCentered"/>
              <w:jc w:val="left"/>
              <w:rPr>
                <w:sz w:val="22"/>
                <w:szCs w:val="22"/>
              </w:rPr>
            </w:pPr>
            <w:hyperlink r:id="rId15" w:history="1">
              <w:r w:rsidRPr="005132F6">
                <w:rPr>
                  <w:rStyle w:val="Hyperlink"/>
                  <w:sz w:val="22"/>
                  <w:szCs w:val="22"/>
                </w:rPr>
                <w:t>https://www.cambridgeinternational.org/Images/584543-great-teaching-toolkit-evidence-review.pdf</w:t>
              </w:r>
            </w:hyperlink>
          </w:p>
          <w:p w14:paraId="74B4A743" w14:textId="77777777" w:rsidR="00CC54FA" w:rsidRPr="005132F6" w:rsidRDefault="00CC54FA" w:rsidP="00CC54FA">
            <w:pPr>
              <w:pStyle w:val="TableRowCentered"/>
              <w:jc w:val="left"/>
              <w:rPr>
                <w:sz w:val="22"/>
                <w:szCs w:val="22"/>
              </w:rPr>
            </w:pPr>
          </w:p>
          <w:p w14:paraId="33FE01AB" w14:textId="7709A55A" w:rsidR="00CC54FA" w:rsidRPr="005132F6" w:rsidRDefault="00CC54FA" w:rsidP="00CC54FA">
            <w:pPr>
              <w:pStyle w:val="TableRowCentered"/>
              <w:jc w:val="left"/>
              <w:rPr>
                <w:sz w:val="22"/>
                <w:szCs w:val="22"/>
              </w:rPr>
            </w:pPr>
            <w:hyperlink r:id="rId16" w:history="1">
              <w:r w:rsidRPr="005132F6">
                <w:rPr>
                  <w:rStyle w:val="Hyperlink"/>
                  <w:sz w:val="22"/>
                  <w:szCs w:val="22"/>
                </w:rPr>
                <w:t>https://educationendowmentfoundation.org.uk/education-evidence/teaching-learning-toolkit/feedback</w:t>
              </w:r>
            </w:hyperlink>
            <w:r w:rsidRPr="005132F6">
              <w:rPr>
                <w:sz w:val="22"/>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2D4B7" w14:textId="465F9217" w:rsidR="00CC54FA" w:rsidRPr="005132F6" w:rsidRDefault="00CC54FA" w:rsidP="00CC54FA">
            <w:pPr>
              <w:pStyle w:val="TableRowCentered"/>
              <w:jc w:val="left"/>
              <w:rPr>
                <w:sz w:val="22"/>
                <w:szCs w:val="22"/>
              </w:rPr>
            </w:pPr>
            <w:r>
              <w:rPr>
                <w:sz w:val="22"/>
                <w:szCs w:val="22"/>
              </w:rPr>
              <w:t>1, 2, 6</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7CEB8CA0" w:rsidR="00E66558" w:rsidRDefault="009D71E8">
      <w:r>
        <w:t xml:space="preserve">Budgeted </w:t>
      </w:r>
      <w:r w:rsidRPr="00B734CA">
        <w:t xml:space="preserve">cost: </w:t>
      </w:r>
      <w:r w:rsidR="00EE5269" w:rsidRPr="00B734CA">
        <w:t>£</w:t>
      </w:r>
      <w:r w:rsidR="00874D85" w:rsidRPr="00B734CA">
        <w:t>7</w:t>
      </w:r>
      <w:r w:rsidR="00EF42A5" w:rsidRPr="00B734CA">
        <w:t>0,000</w:t>
      </w:r>
    </w:p>
    <w:tbl>
      <w:tblPr>
        <w:tblW w:w="5000" w:type="pct"/>
        <w:tblCellMar>
          <w:left w:w="10" w:type="dxa"/>
          <w:right w:w="10" w:type="dxa"/>
        </w:tblCellMar>
        <w:tblLook w:val="04A0" w:firstRow="1" w:lastRow="0" w:firstColumn="1" w:lastColumn="0" w:noHBand="0" w:noVBand="1"/>
      </w:tblPr>
      <w:tblGrid>
        <w:gridCol w:w="1809"/>
        <w:gridCol w:w="5871"/>
        <w:gridCol w:w="1806"/>
      </w:tblGrid>
      <w:tr w:rsidR="00E66558" w14:paraId="2A7D5528" w14:textId="77777777" w:rsidTr="00A24AC0">
        <w:tc>
          <w:tcPr>
            <w:tcW w:w="18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58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80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C65C1A" w14:paraId="77EDDB02" w14:textId="77777777" w:rsidTr="008649C8">
        <w:trPr>
          <w:trHeight w:val="1266"/>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7D71B" w14:textId="67BD7105" w:rsidR="00C65C1A" w:rsidRDefault="00C65C1A" w:rsidP="00C65C1A">
            <w:pPr>
              <w:pStyle w:val="TableRow"/>
              <w:rPr>
                <w:sz w:val="22"/>
                <w:szCs w:val="22"/>
              </w:rPr>
            </w:pPr>
            <w:r>
              <w:rPr>
                <w:sz w:val="22"/>
                <w:szCs w:val="22"/>
              </w:rPr>
              <w:t>Additional phonics sessions targeted at disadvantaged pupils who require further phonics support.</w:t>
            </w: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5B2F1" w14:textId="77777777" w:rsidR="00C65C1A" w:rsidRDefault="00C65C1A" w:rsidP="00C65C1A">
            <w:pPr>
              <w:pStyle w:val="TableRowCentered"/>
              <w:jc w:val="left"/>
              <w:rPr>
                <w:sz w:val="22"/>
              </w:rPr>
            </w:pPr>
            <w:r>
              <w:rPr>
                <w:sz w:val="22"/>
              </w:rPr>
              <w:t>Phonics approaches have a strong evidence base indicating a positive impact on pupils, particularly form disadvantaged background.  Targeted phonics interventions have been shown to be more effective when delivered as regular sessions over a period of up to 12 weeks.</w:t>
            </w:r>
          </w:p>
          <w:p w14:paraId="14CEB77F" w14:textId="77777777" w:rsidR="00C65C1A" w:rsidRDefault="00C65C1A" w:rsidP="00C65C1A">
            <w:pPr>
              <w:pStyle w:val="TableRowCentered"/>
              <w:jc w:val="left"/>
              <w:rPr>
                <w:sz w:val="22"/>
              </w:rPr>
            </w:pPr>
            <w:hyperlink r:id="rId17" w:history="1">
              <w:r w:rsidRPr="002662CF">
                <w:rPr>
                  <w:rStyle w:val="Hyperlink"/>
                  <w:sz w:val="22"/>
                </w:rPr>
                <w:t>https://educationendowmentfoundation.org.uk/education-evidence/teaching-learning-toolkit/phonics</w:t>
              </w:r>
            </w:hyperlink>
          </w:p>
          <w:p w14:paraId="7FD3F062" w14:textId="77777777" w:rsidR="00C65C1A" w:rsidRDefault="00C65C1A" w:rsidP="008649C8">
            <w:pPr>
              <w:pStyle w:val="TableRowCentered"/>
              <w:ind w:left="0"/>
              <w:jc w:val="left"/>
              <w:rPr>
                <w:sz w:val="22"/>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EE0B" w14:textId="5CDBD7E8" w:rsidR="00C65C1A" w:rsidRDefault="00B1195C" w:rsidP="00C65C1A">
            <w:pPr>
              <w:pStyle w:val="TableRowCentered"/>
              <w:jc w:val="left"/>
              <w:rPr>
                <w:sz w:val="22"/>
              </w:rPr>
            </w:pPr>
            <w:r>
              <w:rPr>
                <w:sz w:val="22"/>
              </w:rPr>
              <w:t xml:space="preserve">1, </w:t>
            </w:r>
            <w:r w:rsidR="00C65C1A">
              <w:rPr>
                <w:sz w:val="22"/>
              </w:rPr>
              <w:t>2</w:t>
            </w:r>
            <w:r w:rsidR="0061050C">
              <w:rPr>
                <w:sz w:val="22"/>
              </w:rPr>
              <w:t>, 6</w:t>
            </w:r>
          </w:p>
        </w:tc>
      </w:tr>
      <w:tr w:rsidR="00C65C1A" w14:paraId="2A7D5530" w14:textId="77777777" w:rsidTr="00A24AC0">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43D6DD01" w:rsidR="00C65C1A" w:rsidRDefault="00C65C1A" w:rsidP="00C65C1A">
            <w:pPr>
              <w:pStyle w:val="TableRow"/>
              <w:rPr>
                <w:i/>
                <w:sz w:val="22"/>
              </w:rPr>
            </w:pPr>
            <w:r>
              <w:rPr>
                <w:sz w:val="22"/>
                <w:szCs w:val="22"/>
              </w:rPr>
              <w:t>Teaching assistants withdraw pupil premium children for interventions</w:t>
            </w: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7A74C" w14:textId="4CC401E7" w:rsidR="00C65C1A" w:rsidRDefault="00C65C1A" w:rsidP="00C65C1A">
            <w:pPr>
              <w:pStyle w:val="TableRowCentered"/>
              <w:jc w:val="left"/>
              <w:rPr>
                <w:sz w:val="22"/>
              </w:rPr>
            </w:pPr>
            <w:r>
              <w:rPr>
                <w:sz w:val="22"/>
              </w:rPr>
              <w:t>If children have misunderstood a concept, they will revisit the learning with a T</w:t>
            </w:r>
            <w:r w:rsidR="002E289C">
              <w:rPr>
                <w:sz w:val="22"/>
              </w:rPr>
              <w:t xml:space="preserve">eaching Assistant </w:t>
            </w:r>
            <w:r>
              <w:rPr>
                <w:sz w:val="22"/>
              </w:rPr>
              <w:t>to help them overcome their misconception.</w:t>
            </w:r>
          </w:p>
          <w:p w14:paraId="3C547366" w14:textId="023CE988" w:rsidR="00C65C1A" w:rsidRDefault="00C65C1A" w:rsidP="00C65C1A">
            <w:pPr>
              <w:pStyle w:val="TableRowCentered"/>
              <w:jc w:val="left"/>
              <w:rPr>
                <w:sz w:val="22"/>
              </w:rPr>
            </w:pPr>
            <w:r>
              <w:rPr>
                <w:sz w:val="22"/>
              </w:rPr>
              <w:t>Tuition targeted at specific needs and knowledge gaps can be an effective method to support low attaining pupils or those falling behind, both one to one:</w:t>
            </w:r>
          </w:p>
          <w:p w14:paraId="0EDBE853" w14:textId="77777777" w:rsidR="00C65C1A" w:rsidRDefault="00C65C1A" w:rsidP="00C65C1A">
            <w:pPr>
              <w:pStyle w:val="TableRowCentered"/>
              <w:jc w:val="left"/>
              <w:rPr>
                <w:sz w:val="22"/>
              </w:rPr>
            </w:pPr>
            <w:hyperlink r:id="rId18" w:history="1">
              <w:r w:rsidRPr="002662CF">
                <w:rPr>
                  <w:rStyle w:val="Hyperlink"/>
                  <w:sz w:val="22"/>
                </w:rPr>
                <w:t>https://educationendowmentfoundation.org.uk/education-evidence/teaching-learning-toolkit/one-to-one-tuition</w:t>
              </w:r>
            </w:hyperlink>
          </w:p>
          <w:p w14:paraId="256C6A95" w14:textId="77777777" w:rsidR="00C65C1A" w:rsidRDefault="00C65C1A" w:rsidP="00C65C1A">
            <w:pPr>
              <w:pStyle w:val="TableRowCentered"/>
              <w:jc w:val="left"/>
              <w:rPr>
                <w:sz w:val="22"/>
              </w:rPr>
            </w:pPr>
          </w:p>
          <w:p w14:paraId="4B4192F8" w14:textId="77777777" w:rsidR="00C65C1A" w:rsidRDefault="00C65C1A" w:rsidP="00C65C1A">
            <w:pPr>
              <w:pStyle w:val="TableRowCentered"/>
              <w:jc w:val="left"/>
              <w:rPr>
                <w:sz w:val="22"/>
              </w:rPr>
            </w:pPr>
            <w:r>
              <w:rPr>
                <w:sz w:val="22"/>
              </w:rPr>
              <w:t>And in small groups:</w:t>
            </w:r>
          </w:p>
          <w:p w14:paraId="2DB020D1" w14:textId="77777777" w:rsidR="00C65C1A" w:rsidRDefault="00C65C1A" w:rsidP="00C65C1A">
            <w:pPr>
              <w:pStyle w:val="TableRowCentered"/>
              <w:jc w:val="left"/>
              <w:rPr>
                <w:sz w:val="22"/>
              </w:rPr>
            </w:pPr>
            <w:hyperlink r:id="rId19" w:history="1">
              <w:r w:rsidRPr="002662CF">
                <w:rPr>
                  <w:rStyle w:val="Hyperlink"/>
                  <w:sz w:val="22"/>
                </w:rPr>
                <w:t>https://educationendowmentfoundation.org.uk/education-evidence/teaching-learning-toolkit/small-group-tuition</w:t>
              </w:r>
            </w:hyperlink>
          </w:p>
          <w:p w14:paraId="4B00133D" w14:textId="77777777" w:rsidR="00C65C1A" w:rsidRDefault="00C65C1A" w:rsidP="00C65C1A">
            <w:pPr>
              <w:pStyle w:val="TableRowCentered"/>
              <w:jc w:val="left"/>
              <w:rPr>
                <w:sz w:val="22"/>
              </w:rPr>
            </w:pPr>
          </w:p>
          <w:p w14:paraId="62ADF90A" w14:textId="737614A5" w:rsidR="00C65C1A" w:rsidRDefault="00C65C1A" w:rsidP="00C65C1A">
            <w:pPr>
              <w:pStyle w:val="TableRowCentered"/>
              <w:jc w:val="left"/>
              <w:rPr>
                <w:sz w:val="22"/>
              </w:rPr>
            </w:pPr>
            <w:r>
              <w:rPr>
                <w:sz w:val="22"/>
              </w:rPr>
              <w:t>Evidence of the importance of feedback given:</w:t>
            </w:r>
          </w:p>
          <w:p w14:paraId="2A7D552E" w14:textId="51BBF970" w:rsidR="00C65C1A" w:rsidRDefault="00C65C1A" w:rsidP="00C65C1A">
            <w:pPr>
              <w:pStyle w:val="TableRowCentered"/>
              <w:jc w:val="left"/>
              <w:rPr>
                <w:sz w:val="22"/>
              </w:rPr>
            </w:pPr>
            <w:hyperlink r:id="rId20" w:history="1">
              <w:r w:rsidRPr="00F52821">
                <w:rPr>
                  <w:rStyle w:val="Hyperlink"/>
                  <w:sz w:val="22"/>
                </w:rPr>
                <w:t>https://educationendowmentfoundation.org.uk/education-evidence/teaching-learning-toolkit/feedback</w:t>
              </w:r>
            </w:hyperlink>
            <w:r>
              <w:rPr>
                <w:sz w:val="22"/>
              </w:rPr>
              <w:t xml:space="preserve"> </w:t>
            </w: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36B61F42" w:rsidR="00C65C1A" w:rsidRDefault="00B1195C" w:rsidP="00C65C1A">
            <w:pPr>
              <w:pStyle w:val="TableRowCentered"/>
              <w:jc w:val="left"/>
              <w:rPr>
                <w:sz w:val="22"/>
              </w:rPr>
            </w:pPr>
            <w:r>
              <w:rPr>
                <w:sz w:val="22"/>
              </w:rPr>
              <w:t>1, 2</w:t>
            </w:r>
            <w:r w:rsidR="0061050C">
              <w:rPr>
                <w:sz w:val="22"/>
              </w:rPr>
              <w:t>, 6</w:t>
            </w:r>
          </w:p>
        </w:tc>
      </w:tr>
      <w:tr w:rsidR="00C65C1A" w14:paraId="12312B23" w14:textId="77777777" w:rsidTr="00A24AC0">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4F549" w14:textId="4DFF2587" w:rsidR="00C65C1A" w:rsidRDefault="00C65C1A" w:rsidP="00C65C1A">
            <w:pPr>
              <w:pStyle w:val="TableRow"/>
              <w:rPr>
                <w:sz w:val="22"/>
                <w:szCs w:val="22"/>
              </w:rPr>
            </w:pPr>
            <w:r>
              <w:rPr>
                <w:sz w:val="22"/>
                <w:szCs w:val="22"/>
              </w:rPr>
              <w:t>Targeted intervention groups based on half termly data to ensure pupil premium children are making good or better progress in reading, writing and maths.</w:t>
            </w: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C88FF" w14:textId="6D96E8AD" w:rsidR="00C65C1A" w:rsidRDefault="00C65C1A" w:rsidP="00C65C1A">
            <w:pPr>
              <w:pStyle w:val="TableRowCentered"/>
              <w:jc w:val="left"/>
              <w:rPr>
                <w:sz w:val="22"/>
              </w:rPr>
            </w:pPr>
            <w:r>
              <w:rPr>
                <w:sz w:val="22"/>
              </w:rPr>
              <w:t>If children have misunderstood a concept, they will revisit the learning with a</w:t>
            </w:r>
            <w:r w:rsidR="00A45606">
              <w:rPr>
                <w:sz w:val="22"/>
              </w:rPr>
              <w:t xml:space="preserve">n adult </w:t>
            </w:r>
            <w:r>
              <w:rPr>
                <w:sz w:val="22"/>
              </w:rPr>
              <w:t>to help them overcome their misconception.</w:t>
            </w:r>
          </w:p>
          <w:p w14:paraId="71507567" w14:textId="77777777" w:rsidR="00C65C1A" w:rsidRDefault="00C65C1A" w:rsidP="00C65C1A">
            <w:pPr>
              <w:pStyle w:val="TableRowCentered"/>
              <w:jc w:val="left"/>
              <w:rPr>
                <w:sz w:val="22"/>
              </w:rPr>
            </w:pPr>
            <w:r>
              <w:rPr>
                <w:sz w:val="22"/>
              </w:rPr>
              <w:t>Tuition targeted at specific needs and knowledge gaps can be an effective method to support low attaining pupils or those falling behind, both one to one:</w:t>
            </w:r>
          </w:p>
          <w:p w14:paraId="36B4D74C" w14:textId="77777777" w:rsidR="00C65C1A" w:rsidRDefault="00C65C1A" w:rsidP="00C65C1A">
            <w:pPr>
              <w:pStyle w:val="TableRowCentered"/>
              <w:jc w:val="left"/>
              <w:rPr>
                <w:sz w:val="22"/>
              </w:rPr>
            </w:pPr>
            <w:hyperlink r:id="rId21" w:history="1">
              <w:r w:rsidRPr="002662CF">
                <w:rPr>
                  <w:rStyle w:val="Hyperlink"/>
                  <w:sz w:val="22"/>
                </w:rPr>
                <w:t>https://educationendowmentfoundation.org.uk/education-evidence/teaching-learning-toolkit/one-to-one-tuition</w:t>
              </w:r>
            </w:hyperlink>
          </w:p>
          <w:p w14:paraId="52B44138" w14:textId="77777777" w:rsidR="00C65C1A" w:rsidRDefault="00C65C1A" w:rsidP="00C65C1A">
            <w:pPr>
              <w:pStyle w:val="TableRowCentered"/>
              <w:jc w:val="left"/>
              <w:rPr>
                <w:sz w:val="22"/>
              </w:rPr>
            </w:pPr>
          </w:p>
          <w:p w14:paraId="6836ED8A" w14:textId="77777777" w:rsidR="00C65C1A" w:rsidRDefault="00C65C1A" w:rsidP="00C65C1A">
            <w:pPr>
              <w:pStyle w:val="TableRowCentered"/>
              <w:jc w:val="left"/>
              <w:rPr>
                <w:sz w:val="22"/>
              </w:rPr>
            </w:pPr>
            <w:r>
              <w:rPr>
                <w:sz w:val="22"/>
              </w:rPr>
              <w:t>And in small groups:</w:t>
            </w:r>
          </w:p>
          <w:p w14:paraId="1E43AC10" w14:textId="77777777" w:rsidR="00C65C1A" w:rsidRDefault="00C65C1A" w:rsidP="00C65C1A">
            <w:pPr>
              <w:pStyle w:val="TableRowCentered"/>
              <w:jc w:val="left"/>
              <w:rPr>
                <w:sz w:val="22"/>
              </w:rPr>
            </w:pPr>
            <w:hyperlink r:id="rId22" w:history="1">
              <w:r w:rsidRPr="002662CF">
                <w:rPr>
                  <w:rStyle w:val="Hyperlink"/>
                  <w:sz w:val="22"/>
                </w:rPr>
                <w:t>https://educationendowmentfoundation.org.uk/education-evidence/teaching-learning-toolkit/small-group-tuition</w:t>
              </w:r>
            </w:hyperlink>
          </w:p>
          <w:p w14:paraId="561EBD5F" w14:textId="77777777" w:rsidR="00C65C1A" w:rsidRDefault="00C65C1A" w:rsidP="00C65C1A">
            <w:pPr>
              <w:pStyle w:val="TableRowCentered"/>
              <w:jc w:val="left"/>
              <w:rPr>
                <w:sz w:val="22"/>
              </w:rPr>
            </w:pPr>
          </w:p>
          <w:p w14:paraId="7453B7A1" w14:textId="77777777" w:rsidR="00C65C1A" w:rsidRDefault="00C65C1A" w:rsidP="00C65C1A">
            <w:pPr>
              <w:pStyle w:val="TableRowCentered"/>
              <w:jc w:val="left"/>
              <w:rPr>
                <w:sz w:val="22"/>
              </w:rPr>
            </w:pPr>
            <w:r>
              <w:rPr>
                <w:sz w:val="22"/>
              </w:rPr>
              <w:t>Evidence of the importance of feedback given:</w:t>
            </w:r>
          </w:p>
          <w:p w14:paraId="7642BE51" w14:textId="4AB89EB0" w:rsidR="00C65C1A" w:rsidRDefault="00C65C1A" w:rsidP="00C65C1A">
            <w:pPr>
              <w:pStyle w:val="TableRowCentered"/>
              <w:jc w:val="left"/>
              <w:rPr>
                <w:sz w:val="22"/>
              </w:rPr>
            </w:pPr>
            <w:hyperlink r:id="rId23" w:history="1">
              <w:r w:rsidRPr="00F52821">
                <w:rPr>
                  <w:rStyle w:val="Hyperlink"/>
                  <w:sz w:val="22"/>
                </w:rPr>
                <w:t>https://educationendowmentfoundation.org.uk/education-evidence/teaching-learning-toolkit/feedback</w:t>
              </w:r>
            </w:hyperlink>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C3098" w14:textId="393DB712" w:rsidR="00C65C1A" w:rsidRDefault="00B1195C" w:rsidP="00C65C1A">
            <w:pPr>
              <w:pStyle w:val="TableRowCentered"/>
              <w:jc w:val="left"/>
              <w:rPr>
                <w:sz w:val="22"/>
              </w:rPr>
            </w:pPr>
            <w:r>
              <w:rPr>
                <w:sz w:val="22"/>
              </w:rPr>
              <w:t>1, 2</w:t>
            </w:r>
            <w:r w:rsidR="0061050C">
              <w:rPr>
                <w:sz w:val="22"/>
              </w:rPr>
              <w:t>, 6</w:t>
            </w:r>
          </w:p>
        </w:tc>
      </w:tr>
      <w:tr w:rsidR="006B55D3" w14:paraId="37A65571" w14:textId="77777777" w:rsidTr="00A24AC0">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5F5C7" w14:textId="3F9AFE12" w:rsidR="006B55D3" w:rsidRDefault="006B55D3" w:rsidP="006B55D3">
            <w:pPr>
              <w:pStyle w:val="TableRow"/>
              <w:rPr>
                <w:sz w:val="22"/>
                <w:szCs w:val="22"/>
              </w:rPr>
            </w:pPr>
            <w:r>
              <w:rPr>
                <w:sz w:val="22"/>
                <w:szCs w:val="22"/>
              </w:rPr>
              <w:t>Targeted booster / catch up provision</w:t>
            </w: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85BCB" w14:textId="778722E2" w:rsidR="006B55D3" w:rsidRDefault="006B55D3" w:rsidP="006B55D3">
            <w:pPr>
              <w:pStyle w:val="TableRowCentered"/>
              <w:jc w:val="left"/>
              <w:rPr>
                <w:sz w:val="22"/>
              </w:rPr>
            </w:pPr>
            <w:r>
              <w:rPr>
                <w:sz w:val="22"/>
              </w:rPr>
              <w:t>The EEF found that s</w:t>
            </w:r>
            <w:r>
              <w:t xml:space="preserve">mall group tuition has had an average impact of four months’ additional progress over the course of a year.  </w:t>
            </w:r>
          </w:p>
          <w:p w14:paraId="29EB836F" w14:textId="77777777" w:rsidR="006B55D3" w:rsidRDefault="006B55D3" w:rsidP="006B55D3">
            <w:pPr>
              <w:pStyle w:val="TableRowCentered"/>
              <w:jc w:val="left"/>
              <w:rPr>
                <w:sz w:val="22"/>
              </w:rPr>
            </w:pPr>
          </w:p>
          <w:p w14:paraId="3572A2F1" w14:textId="21184C50" w:rsidR="006B55D3" w:rsidRDefault="006B55D3" w:rsidP="006B55D3">
            <w:pPr>
              <w:pStyle w:val="TableRowCentered"/>
              <w:jc w:val="left"/>
              <w:rPr>
                <w:sz w:val="22"/>
              </w:rPr>
            </w:pPr>
            <w:hyperlink r:id="rId24" w:history="1">
              <w:r w:rsidRPr="002662CF">
                <w:rPr>
                  <w:rStyle w:val="Hyperlink"/>
                  <w:sz w:val="22"/>
                </w:rPr>
                <w:t>https://educationendowmentfoundation.org.uk/education-evidence/teaching-learning-toolkit/small-group-tuition</w:t>
              </w:r>
            </w:hyperlink>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1D49E" w14:textId="2AC4BB2A" w:rsidR="006B55D3" w:rsidRDefault="00B1195C" w:rsidP="006B55D3">
            <w:pPr>
              <w:pStyle w:val="TableRowCentered"/>
              <w:jc w:val="left"/>
              <w:rPr>
                <w:sz w:val="22"/>
              </w:rPr>
            </w:pPr>
            <w:r>
              <w:rPr>
                <w:sz w:val="22"/>
              </w:rPr>
              <w:t>1, 2</w:t>
            </w:r>
            <w:r w:rsidR="00A45606">
              <w:rPr>
                <w:sz w:val="22"/>
              </w:rPr>
              <w:t>, 6</w:t>
            </w:r>
          </w:p>
        </w:tc>
      </w:tr>
      <w:tr w:rsidR="00042969" w14:paraId="43277C29" w14:textId="77777777" w:rsidTr="00A24AC0">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3D5D1" w14:textId="7E3F3B01" w:rsidR="00042969" w:rsidRDefault="00042969" w:rsidP="00042969">
            <w:pPr>
              <w:pStyle w:val="TableRow"/>
              <w:rPr>
                <w:sz w:val="22"/>
                <w:szCs w:val="22"/>
              </w:rPr>
            </w:pPr>
            <w:r>
              <w:rPr>
                <w:sz w:val="22"/>
                <w:szCs w:val="22"/>
              </w:rPr>
              <w:t>A</w:t>
            </w:r>
            <w:r>
              <w:rPr>
                <w:szCs w:val="22"/>
              </w:rPr>
              <w:t>dditional teaching assistant support for key learners</w:t>
            </w: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EB4EE" w14:textId="050E6318" w:rsidR="00042969" w:rsidRDefault="00042969" w:rsidP="00042969">
            <w:pPr>
              <w:pStyle w:val="TableRowCentered"/>
              <w:jc w:val="left"/>
              <w:rPr>
                <w:sz w:val="22"/>
              </w:rPr>
            </w:pPr>
            <w:r>
              <w:rPr>
                <w:sz w:val="22"/>
              </w:rPr>
              <w:t>This support for key individuals allows those pupils to flourish socially, emotionally and academically.  It also allows other teaching assistant time to be relentlessly focused upon academic support and intervention.</w:t>
            </w: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FC78E" w14:textId="19E99A55" w:rsidR="00042969" w:rsidRDefault="00B1195C" w:rsidP="00042969">
            <w:pPr>
              <w:pStyle w:val="TableRowCentered"/>
              <w:jc w:val="left"/>
              <w:rPr>
                <w:sz w:val="22"/>
              </w:rPr>
            </w:pPr>
            <w:r>
              <w:rPr>
                <w:sz w:val="22"/>
              </w:rPr>
              <w:t>1, 2</w:t>
            </w:r>
            <w:r w:rsidR="00A45606">
              <w:rPr>
                <w:sz w:val="22"/>
              </w:rPr>
              <w:t>, 6</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7D4D29BF" w14:textId="68368E9F" w:rsidR="003E4EA7" w:rsidRDefault="009D71E8">
      <w:pPr>
        <w:spacing w:before="240" w:after="120"/>
      </w:pPr>
      <w:r>
        <w:t xml:space="preserve">Budgeted </w:t>
      </w:r>
      <w:r w:rsidRPr="004B05B3">
        <w:t xml:space="preserve">cost: </w:t>
      </w:r>
      <w:r w:rsidR="003E4EA7" w:rsidRPr="004B05B3">
        <w:t>£</w:t>
      </w:r>
      <w:r w:rsidR="004B05B3">
        <w:t>4</w:t>
      </w:r>
      <w:r w:rsidR="004B05B3" w:rsidRPr="004B05B3">
        <w:t>0</w:t>
      </w:r>
      <w:r w:rsidR="004B05B3">
        <w:t>,000</w:t>
      </w:r>
    </w:p>
    <w:tbl>
      <w:tblPr>
        <w:tblW w:w="5402" w:type="pct"/>
        <w:tblLayout w:type="fixed"/>
        <w:tblCellMar>
          <w:left w:w="10" w:type="dxa"/>
          <w:right w:w="10" w:type="dxa"/>
        </w:tblCellMar>
        <w:tblLook w:val="04A0" w:firstRow="1" w:lastRow="0" w:firstColumn="1" w:lastColumn="0" w:noHBand="0" w:noVBand="1"/>
      </w:tblPr>
      <w:tblGrid>
        <w:gridCol w:w="2264"/>
        <w:gridCol w:w="5953"/>
        <w:gridCol w:w="2032"/>
      </w:tblGrid>
      <w:tr w:rsidR="00E66558" w14:paraId="2A7D5537" w14:textId="77777777" w:rsidTr="00C054A2">
        <w:tc>
          <w:tcPr>
            <w:tcW w:w="226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59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03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717B45" w14:paraId="2A7D553B" w14:textId="77777777" w:rsidTr="00C054A2">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3EF20" w14:textId="77777777" w:rsidR="00717B45" w:rsidRPr="00880098" w:rsidRDefault="00717B45" w:rsidP="00717B45">
            <w:pPr>
              <w:pStyle w:val="TableRow"/>
              <w:ind w:left="0"/>
              <w:rPr>
                <w:sz w:val="22"/>
                <w:szCs w:val="22"/>
              </w:rPr>
            </w:pPr>
            <w:r w:rsidRPr="00880098">
              <w:rPr>
                <w:sz w:val="22"/>
                <w:szCs w:val="22"/>
              </w:rPr>
              <w:t xml:space="preserve">Support from the attendance officer to raise standards of attendance for pupil premium pupils by working with families to remove the barriers to attending. </w:t>
            </w:r>
          </w:p>
          <w:p w14:paraId="1958087B" w14:textId="436595AE" w:rsidR="00717B45" w:rsidRPr="00880098" w:rsidRDefault="008742DA" w:rsidP="00717B45">
            <w:pPr>
              <w:pStyle w:val="TableRow"/>
              <w:ind w:left="0"/>
              <w:rPr>
                <w:iCs/>
                <w:sz w:val="22"/>
                <w:szCs w:val="22"/>
              </w:rPr>
            </w:pPr>
            <w:r w:rsidRPr="00880098">
              <w:rPr>
                <w:iCs/>
                <w:sz w:val="22"/>
                <w:szCs w:val="22"/>
              </w:rPr>
              <w:t>Continue to embed pupil awards and incentives for good school attendance</w:t>
            </w:r>
            <w:r w:rsidR="00717B45" w:rsidRPr="00880098">
              <w:rPr>
                <w:iCs/>
                <w:sz w:val="22"/>
                <w:szCs w:val="22"/>
              </w:rPr>
              <w:t>.</w:t>
            </w:r>
          </w:p>
          <w:p w14:paraId="3C30118C" w14:textId="77777777" w:rsidR="008E5DAC" w:rsidRPr="00880098" w:rsidRDefault="008E5DAC" w:rsidP="00717B45">
            <w:pPr>
              <w:pStyle w:val="TableRow"/>
              <w:ind w:left="0"/>
              <w:rPr>
                <w:iCs/>
                <w:sz w:val="22"/>
                <w:szCs w:val="22"/>
              </w:rPr>
            </w:pPr>
            <w:r w:rsidRPr="00880098">
              <w:rPr>
                <w:iCs/>
                <w:sz w:val="22"/>
                <w:szCs w:val="22"/>
              </w:rPr>
              <w:t>Continue to enhance robust</w:t>
            </w:r>
            <w:r w:rsidR="00A65EF5" w:rsidRPr="00880098">
              <w:rPr>
                <w:iCs/>
                <w:sz w:val="22"/>
                <w:szCs w:val="22"/>
              </w:rPr>
              <w:t xml:space="preserve"> systems and procedures for attendance.</w:t>
            </w:r>
          </w:p>
          <w:p w14:paraId="2A7D5538" w14:textId="3E8F5F78" w:rsidR="00A65EF5" w:rsidRPr="00880098" w:rsidRDefault="00A65EF5" w:rsidP="00717B45">
            <w:pPr>
              <w:pStyle w:val="TableRow"/>
              <w:ind w:left="0"/>
              <w:rPr>
                <w:sz w:val="22"/>
                <w:szCs w:val="22"/>
              </w:rPr>
            </w:pPr>
            <w:r w:rsidRPr="00880098">
              <w:rPr>
                <w:iCs/>
                <w:sz w:val="22"/>
                <w:szCs w:val="22"/>
              </w:rPr>
              <w:t>Continue to establish with</w:t>
            </w:r>
            <w:r w:rsidR="00CB75F0" w:rsidRPr="00880098">
              <w:rPr>
                <w:iCs/>
                <w:sz w:val="22"/>
                <w:szCs w:val="22"/>
              </w:rPr>
              <w:t xml:space="preserve"> </w:t>
            </w:r>
            <w:r w:rsidR="00875508" w:rsidRPr="00880098">
              <w:rPr>
                <w:iCs/>
                <w:sz w:val="22"/>
                <w:szCs w:val="22"/>
              </w:rPr>
              <w:t>parents’</w:t>
            </w:r>
            <w:r w:rsidR="00CB75F0" w:rsidRPr="00880098">
              <w:rPr>
                <w:iCs/>
                <w:sz w:val="22"/>
                <w:szCs w:val="22"/>
              </w:rPr>
              <w:t xml:space="preserve"> good attendance habits.</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BFA87" w14:textId="16A4D457" w:rsidR="00717B45" w:rsidRDefault="00C054A2" w:rsidP="00717B45">
            <w:pPr>
              <w:pStyle w:val="TableRowCentered"/>
              <w:jc w:val="left"/>
              <w:rPr>
                <w:sz w:val="22"/>
              </w:rPr>
            </w:pPr>
            <w:r>
              <w:rPr>
                <w:sz w:val="22"/>
              </w:rPr>
              <w:t>Attendance has been identified as a barrier to learning</w:t>
            </w:r>
            <w:r w:rsidR="00591001">
              <w:rPr>
                <w:sz w:val="22"/>
              </w:rPr>
              <w:t xml:space="preserve">.  Too many of our pupil premium pupils are not in school enough.  The dedicated time to support our families, has and will continue to </w:t>
            </w:r>
            <w:r w:rsidR="005D5CEB">
              <w:rPr>
                <w:sz w:val="22"/>
              </w:rPr>
              <w:t>improve the attendance rates.</w:t>
            </w:r>
          </w:p>
          <w:p w14:paraId="7102EEA9" w14:textId="77777777" w:rsidR="00EC2FD4" w:rsidRDefault="00EC2FD4" w:rsidP="00717B45">
            <w:pPr>
              <w:pStyle w:val="TableRowCentered"/>
              <w:jc w:val="left"/>
              <w:rPr>
                <w:sz w:val="22"/>
              </w:rPr>
            </w:pPr>
          </w:p>
          <w:p w14:paraId="2F08A1A9" w14:textId="5DBEC1CB" w:rsidR="00C9135A" w:rsidRDefault="00C9135A" w:rsidP="00717B45">
            <w:pPr>
              <w:pStyle w:val="TableRowCentered"/>
              <w:jc w:val="left"/>
              <w:rPr>
                <w:sz w:val="22"/>
              </w:rPr>
            </w:pPr>
            <w:r>
              <w:rPr>
                <w:sz w:val="22"/>
              </w:rPr>
              <w:t>The DfE</w:t>
            </w:r>
            <w:r w:rsidR="00EC2FD4">
              <w:rPr>
                <w:sz w:val="22"/>
              </w:rPr>
              <w:t xml:space="preserve"> guidance has been informed by engagement with schools that have significantly </w:t>
            </w:r>
            <w:r w:rsidR="00EC2FD4" w:rsidRPr="00B72E82">
              <w:rPr>
                <w:sz w:val="22"/>
                <w:szCs w:val="22"/>
              </w:rPr>
              <w:t>reduced levels of absence and persistent absence.</w:t>
            </w:r>
            <w:r w:rsidR="00C11B1E" w:rsidRPr="00B72E82">
              <w:rPr>
                <w:sz w:val="22"/>
                <w:szCs w:val="22"/>
              </w:rPr>
              <w:t xml:space="preserve">  </w:t>
            </w:r>
            <w:hyperlink w:history="1">
              <w:r w:rsidR="00B72E82" w:rsidRPr="00B72E82">
                <w:rPr>
                  <w:rStyle w:val="Hyperlink"/>
                  <w:sz w:val="22"/>
                  <w:szCs w:val="22"/>
                </w:rPr>
                <w:t>Working together to improve school attendance - GOV.UK (www.gov.uk)</w:t>
              </w:r>
            </w:hyperlink>
          </w:p>
          <w:p w14:paraId="1D56BBEC" w14:textId="77777777" w:rsidR="00EC2FD4" w:rsidRDefault="00EC2FD4" w:rsidP="00717B45">
            <w:pPr>
              <w:pStyle w:val="TableRowCentered"/>
              <w:jc w:val="left"/>
              <w:rPr>
                <w:sz w:val="22"/>
              </w:rPr>
            </w:pPr>
          </w:p>
          <w:p w14:paraId="68F8D937" w14:textId="4A2B401A" w:rsidR="005D5CEB" w:rsidRDefault="00D974E8" w:rsidP="00717B45">
            <w:pPr>
              <w:pStyle w:val="TableRowCentered"/>
              <w:jc w:val="left"/>
              <w:rPr>
                <w:sz w:val="22"/>
              </w:rPr>
            </w:pPr>
            <w:r>
              <w:rPr>
                <w:sz w:val="22"/>
              </w:rPr>
              <w:t>The EEF is currently undertaking a rapid evidence assessment on attendance interventions and programmes.</w:t>
            </w:r>
          </w:p>
          <w:p w14:paraId="1E3E814F" w14:textId="426A15EE" w:rsidR="00717B45" w:rsidRDefault="005D5CEB" w:rsidP="00717B45">
            <w:pPr>
              <w:pStyle w:val="TableRowCentered"/>
              <w:jc w:val="left"/>
              <w:rPr>
                <w:sz w:val="22"/>
              </w:rPr>
            </w:pPr>
            <w:hyperlink r:id="rId25" w:history="1">
              <w:r w:rsidRPr="002662CF">
                <w:rPr>
                  <w:rStyle w:val="Hyperlink"/>
                  <w:sz w:val="22"/>
                </w:rPr>
                <w:t>https://educationendowmentfoundation.org.uk/education-evidence/evidence-reviews/attendance-interventions-rapid-evidence-assessment?utm_source=/education-evidence/evidence-reviews/attendance-interventions-rapid-evidence-assessment&amp;utm_medium=search&amp;utm_campaign=site_search&amp;search_term=attend</w:t>
              </w:r>
            </w:hyperlink>
          </w:p>
          <w:p w14:paraId="54B953AB" w14:textId="77777777" w:rsidR="005D5CEB" w:rsidRDefault="005D5CEB" w:rsidP="00717B45">
            <w:pPr>
              <w:pStyle w:val="TableRowCentered"/>
              <w:jc w:val="left"/>
              <w:rPr>
                <w:sz w:val="22"/>
              </w:rPr>
            </w:pPr>
          </w:p>
          <w:p w14:paraId="72A10FE1" w14:textId="77777777" w:rsidR="008742DA" w:rsidRDefault="00594623" w:rsidP="00717B45">
            <w:pPr>
              <w:pStyle w:val="TableRowCentered"/>
              <w:jc w:val="left"/>
              <w:rPr>
                <w:sz w:val="22"/>
              </w:rPr>
            </w:pPr>
            <w:r>
              <w:rPr>
                <w:sz w:val="22"/>
              </w:rPr>
              <w:t>As per the EEF parental engagement as having a moderate impact that can improve pupil progress</w:t>
            </w:r>
            <w:r w:rsidR="00451690">
              <w:rPr>
                <w:sz w:val="22"/>
              </w:rPr>
              <w:t>.</w:t>
            </w:r>
          </w:p>
          <w:p w14:paraId="01432F1A" w14:textId="77777777" w:rsidR="00451690" w:rsidRDefault="00451690" w:rsidP="00717B45">
            <w:pPr>
              <w:pStyle w:val="TableRowCentered"/>
              <w:jc w:val="left"/>
              <w:rPr>
                <w:sz w:val="22"/>
              </w:rPr>
            </w:pPr>
          </w:p>
          <w:p w14:paraId="7FDA0997" w14:textId="77777777" w:rsidR="00451690" w:rsidRDefault="00451690" w:rsidP="00451690">
            <w:pPr>
              <w:pStyle w:val="TableRowCentered"/>
              <w:ind w:left="0"/>
              <w:jc w:val="left"/>
              <w:rPr>
                <w:sz w:val="22"/>
              </w:rPr>
            </w:pPr>
            <w:r>
              <w:rPr>
                <w:sz w:val="22"/>
              </w:rPr>
              <w:t xml:space="preserve">NFER research found that school which are more successful in promoting high attainment have </w:t>
            </w:r>
            <w:proofErr w:type="gramStart"/>
            <w:r>
              <w:rPr>
                <w:sz w:val="22"/>
              </w:rPr>
              <w:t>a number of</w:t>
            </w:r>
            <w:proofErr w:type="gramEnd"/>
            <w:r>
              <w:rPr>
                <w:sz w:val="22"/>
              </w:rPr>
              <w:t xml:space="preserve"> things in common.  It identified</w:t>
            </w:r>
            <w:r w:rsidR="00B503E6">
              <w:rPr>
                <w:sz w:val="22"/>
              </w:rPr>
              <w:t xml:space="preserve"> seven building blocks of success. Of which number 2 is addressing behaviour and attendance</w:t>
            </w:r>
            <w:r w:rsidR="00CE228C">
              <w:rPr>
                <w:sz w:val="22"/>
              </w:rPr>
              <w:t>.</w:t>
            </w:r>
          </w:p>
          <w:p w14:paraId="52E1FD70" w14:textId="77777777" w:rsidR="00CE228C" w:rsidRDefault="00CE228C" w:rsidP="00451690">
            <w:pPr>
              <w:pStyle w:val="TableRowCentered"/>
              <w:ind w:left="0"/>
              <w:jc w:val="left"/>
              <w:rPr>
                <w:sz w:val="22"/>
              </w:rPr>
            </w:pPr>
          </w:p>
          <w:p w14:paraId="2A7D5539" w14:textId="0D65E1F5" w:rsidR="00CE228C" w:rsidRDefault="00CE228C" w:rsidP="00451690">
            <w:pPr>
              <w:pStyle w:val="TableRowCentered"/>
              <w:ind w:left="0"/>
              <w:jc w:val="left"/>
              <w:rPr>
                <w:sz w:val="22"/>
              </w:rPr>
            </w:pPr>
            <w:r>
              <w:rPr>
                <w:sz w:val="22"/>
              </w:rPr>
              <w:t>DfE improving attendance at school notes without the opportunity to receive good teaching, every day, from the start of their school career, their most deprived</w:t>
            </w:r>
            <w:r w:rsidR="00256B60">
              <w:rPr>
                <w:sz w:val="22"/>
              </w:rPr>
              <w:t xml:space="preserve"> pupils are unlikely to narrow the </w:t>
            </w:r>
            <w:r w:rsidR="00BA6998">
              <w:rPr>
                <w:sz w:val="22"/>
              </w:rPr>
              <w:t>gap</w:t>
            </w:r>
            <w:r w:rsidR="00256B60">
              <w:rPr>
                <w:sz w:val="22"/>
              </w:rPr>
              <w:t xml:space="preserve"> with their peers.  These schools are on the lookout for </w:t>
            </w:r>
            <w:r w:rsidR="00AC72E6">
              <w:rPr>
                <w:sz w:val="22"/>
              </w:rPr>
              <w:t xml:space="preserve">poor patterns </w:t>
            </w:r>
            <w:r w:rsidR="00773ED6">
              <w:rPr>
                <w:sz w:val="22"/>
              </w:rPr>
              <w:t>of attendance in their nurseries and address them as soon as they become concerned.</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6DA3A000" w:rsidR="00717B45" w:rsidRDefault="00B1195C" w:rsidP="00717B45">
            <w:pPr>
              <w:pStyle w:val="TableRowCentered"/>
              <w:jc w:val="left"/>
              <w:rPr>
                <w:sz w:val="22"/>
              </w:rPr>
            </w:pPr>
            <w:r>
              <w:rPr>
                <w:sz w:val="22"/>
              </w:rPr>
              <w:t>3</w:t>
            </w:r>
          </w:p>
        </w:tc>
      </w:tr>
      <w:tr w:rsidR="008B09E8" w14:paraId="73255885" w14:textId="77777777" w:rsidTr="00C054A2">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ABE62" w14:textId="1A96073F" w:rsidR="008B09E8" w:rsidRPr="00880098" w:rsidRDefault="00202381" w:rsidP="00717B45">
            <w:pPr>
              <w:pStyle w:val="TableRow"/>
              <w:ind w:left="0"/>
              <w:rPr>
                <w:sz w:val="22"/>
                <w:szCs w:val="22"/>
              </w:rPr>
            </w:pPr>
            <w:r>
              <w:rPr>
                <w:sz w:val="22"/>
                <w:szCs w:val="22"/>
              </w:rPr>
              <w:t>Attendance (consultant) office</w:t>
            </w:r>
            <w:r w:rsidR="00E8658D">
              <w:rPr>
                <w:sz w:val="22"/>
                <w:szCs w:val="22"/>
              </w:rPr>
              <w:t>r</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674C4" w14:textId="7AFE63C3" w:rsidR="008B09E8" w:rsidRDefault="0044580B" w:rsidP="00717B45">
            <w:pPr>
              <w:pStyle w:val="TableRowCentered"/>
              <w:jc w:val="left"/>
              <w:rPr>
                <w:sz w:val="22"/>
              </w:rPr>
            </w:pPr>
            <w:r>
              <w:rPr>
                <w:sz w:val="22"/>
              </w:rPr>
              <w:t>Attendance Officers provide key support in raising attendance, the profile of attendance, identifying and supporting key</w:t>
            </w:r>
            <w:r w:rsidR="00370DA7">
              <w:rPr>
                <w:sz w:val="22"/>
              </w:rPr>
              <w:t xml:space="preserve"> issues including working to support families where persistent absence is a consideration.</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A61C4" w14:textId="51CD7A58" w:rsidR="008B09E8" w:rsidRDefault="00A7467F" w:rsidP="00717B45">
            <w:pPr>
              <w:pStyle w:val="TableRowCentered"/>
              <w:jc w:val="left"/>
              <w:rPr>
                <w:sz w:val="22"/>
              </w:rPr>
            </w:pPr>
            <w:r>
              <w:rPr>
                <w:sz w:val="22"/>
              </w:rPr>
              <w:t>3</w:t>
            </w:r>
          </w:p>
        </w:tc>
      </w:tr>
      <w:tr w:rsidR="00D42508" w14:paraId="2E31153E" w14:textId="77777777" w:rsidTr="00C054A2">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2B2DB" w14:textId="6AAA428B" w:rsidR="00D42508" w:rsidRDefault="00D42508" w:rsidP="00717B45">
            <w:pPr>
              <w:pStyle w:val="TableRow"/>
              <w:ind w:left="0"/>
              <w:rPr>
                <w:sz w:val="22"/>
                <w:szCs w:val="22"/>
              </w:rPr>
            </w:pPr>
            <w:r>
              <w:rPr>
                <w:sz w:val="22"/>
                <w:szCs w:val="22"/>
              </w:rPr>
              <w:t xml:space="preserve">Breakfast club places for key pupils (to support </w:t>
            </w:r>
            <w:r w:rsidR="005163AE">
              <w:rPr>
                <w:sz w:val="22"/>
                <w:szCs w:val="22"/>
              </w:rPr>
              <w:t>punctuality and attendance)</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408EE" w14:textId="0667C208" w:rsidR="00C22E7B" w:rsidRDefault="00C22E7B" w:rsidP="00717B45">
            <w:pPr>
              <w:pStyle w:val="TableRowCentered"/>
              <w:jc w:val="left"/>
              <w:rPr>
                <w:sz w:val="22"/>
              </w:rPr>
            </w:pPr>
            <w:r>
              <w:rPr>
                <w:sz w:val="22"/>
              </w:rPr>
              <w:t xml:space="preserve">Internal assessments indicate that these children have a positive start to the day with their peers </w:t>
            </w:r>
            <w:r w:rsidR="004375B4">
              <w:rPr>
                <w:sz w:val="22"/>
              </w:rPr>
              <w:t>which in turn supports a positive attitude towards learning.</w:t>
            </w:r>
          </w:p>
          <w:p w14:paraId="33D4740B" w14:textId="11EE7B6F" w:rsidR="00D42508" w:rsidRDefault="00C22E7B" w:rsidP="00717B45">
            <w:pPr>
              <w:pStyle w:val="TableRowCentered"/>
              <w:jc w:val="left"/>
              <w:rPr>
                <w:sz w:val="22"/>
              </w:rPr>
            </w:pPr>
            <w:hyperlink r:id="rId26" w:history="1">
              <w:r w:rsidRPr="00F52821">
                <w:rPr>
                  <w:rStyle w:val="Hyperlink"/>
                  <w:sz w:val="22"/>
                </w:rPr>
                <w:t>https://educationendowmentfoundation.org.uk/news/breakfast-clubs-found-to-boost-primary-pupils-reading-writing-and-maths-res?utm_source=/news/breakfast-clubs-found-to-boost-primary-pupils-reading-writing-and-maths-res&amp;utm_medium=search&amp;utm_campaign=site_search&amp;search_term=breakfast</w:t>
              </w:r>
            </w:hyperlink>
            <w:r>
              <w:rPr>
                <w:sz w:val="22"/>
              </w:rPr>
              <w:t xml:space="preserve"> </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4A6D4" w14:textId="329775B9" w:rsidR="00D42508" w:rsidRDefault="00A7467F" w:rsidP="00717B45">
            <w:pPr>
              <w:pStyle w:val="TableRowCentered"/>
              <w:jc w:val="left"/>
              <w:rPr>
                <w:sz w:val="22"/>
              </w:rPr>
            </w:pPr>
            <w:r>
              <w:rPr>
                <w:sz w:val="22"/>
              </w:rPr>
              <w:t>3, 4</w:t>
            </w:r>
          </w:p>
        </w:tc>
      </w:tr>
      <w:tr w:rsidR="00717B45" w14:paraId="2A7D553F" w14:textId="77777777" w:rsidTr="00C054A2">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B5A8B" w14:textId="1DB057B5" w:rsidR="0090239F" w:rsidRDefault="0090239F" w:rsidP="00717B45">
            <w:pPr>
              <w:pStyle w:val="TableRow"/>
              <w:ind w:left="0"/>
              <w:rPr>
                <w:iCs/>
                <w:sz w:val="22"/>
              </w:rPr>
            </w:pPr>
            <w:proofErr w:type="spellStart"/>
            <w:r>
              <w:rPr>
                <w:iCs/>
                <w:sz w:val="22"/>
              </w:rPr>
              <w:t>Therapat</w:t>
            </w:r>
            <w:proofErr w:type="spellEnd"/>
            <w:r>
              <w:rPr>
                <w:iCs/>
                <w:sz w:val="22"/>
              </w:rPr>
              <w:t xml:space="preserve"> – counsellor</w:t>
            </w:r>
          </w:p>
          <w:p w14:paraId="49E506BC" w14:textId="77777777" w:rsidR="0090239F" w:rsidRDefault="0090239F" w:rsidP="00717B45">
            <w:pPr>
              <w:pStyle w:val="TableRow"/>
              <w:ind w:left="0"/>
              <w:rPr>
                <w:iCs/>
                <w:sz w:val="22"/>
              </w:rPr>
            </w:pPr>
          </w:p>
          <w:p w14:paraId="2A7D553C" w14:textId="574610A4" w:rsidR="0090239F" w:rsidRPr="004D672B" w:rsidRDefault="001E6ECC" w:rsidP="00717B45">
            <w:pPr>
              <w:pStyle w:val="TableRow"/>
              <w:ind w:left="0"/>
              <w:rPr>
                <w:iCs/>
                <w:sz w:val="22"/>
              </w:rPr>
            </w:pPr>
            <w:r>
              <w:rPr>
                <w:iCs/>
                <w:sz w:val="22"/>
              </w:rPr>
              <w:t>Mental health lead and mental health first aider</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64D84" w14:textId="77777777" w:rsidR="00717B45" w:rsidRDefault="00460838" w:rsidP="00B036DA">
            <w:pPr>
              <w:pStyle w:val="TableRowCentered"/>
              <w:ind w:right="0"/>
              <w:jc w:val="left"/>
              <w:rPr>
                <w:sz w:val="22"/>
              </w:rPr>
            </w:pPr>
            <w:r>
              <w:rPr>
                <w:sz w:val="22"/>
              </w:rPr>
              <w:t xml:space="preserve">Individual counselling records show individual impacts in a range of ways – that have led to improved wellbeing and academic engagement. </w:t>
            </w:r>
          </w:p>
          <w:p w14:paraId="375EDA86" w14:textId="77777777" w:rsidR="00961026" w:rsidRDefault="00961026" w:rsidP="00717B45">
            <w:pPr>
              <w:pStyle w:val="TableRowCentered"/>
              <w:ind w:right="1310"/>
              <w:jc w:val="left"/>
              <w:rPr>
                <w:sz w:val="22"/>
              </w:rPr>
            </w:pPr>
          </w:p>
          <w:p w14:paraId="138A7E29" w14:textId="79A92A75" w:rsidR="00A84758" w:rsidRDefault="009E2901" w:rsidP="00717B45">
            <w:pPr>
              <w:pStyle w:val="TableRowCentered"/>
              <w:ind w:right="1310"/>
              <w:jc w:val="left"/>
              <w:rPr>
                <w:sz w:val="22"/>
              </w:rPr>
            </w:pPr>
            <w:r>
              <w:rPr>
                <w:sz w:val="22"/>
              </w:rPr>
              <w:t xml:space="preserve">DfE </w:t>
            </w:r>
            <w:r w:rsidR="00EE64AD">
              <w:rPr>
                <w:sz w:val="22"/>
              </w:rPr>
              <w:t>Counselling in Schools: a blueprint for the future</w:t>
            </w:r>
            <w:r w:rsidR="000A0272">
              <w:rPr>
                <w:sz w:val="22"/>
              </w:rPr>
              <w:t xml:space="preserve"> states:</w:t>
            </w:r>
          </w:p>
          <w:p w14:paraId="695FA914" w14:textId="658A35A0" w:rsidR="000A0272" w:rsidRDefault="000A0272" w:rsidP="00B036DA">
            <w:pPr>
              <w:pStyle w:val="TableRowCentered"/>
              <w:ind w:right="0"/>
              <w:jc w:val="left"/>
              <w:rPr>
                <w:sz w:val="22"/>
              </w:rPr>
            </w:pPr>
            <w:r>
              <w:rPr>
                <w:sz w:val="22"/>
              </w:rPr>
              <w:t>The benefits to the individual and to society in preventing problems from arising, and intervening early where they do, are significant.  For schools this can result in improved attainment,</w:t>
            </w:r>
            <w:r w:rsidR="00B036DA">
              <w:rPr>
                <w:sz w:val="22"/>
              </w:rPr>
              <w:t xml:space="preserve"> attendance, reductions in behavioural problems, as well as happier, more confident and resilient pupils.</w:t>
            </w:r>
          </w:p>
          <w:p w14:paraId="2A7D553D" w14:textId="621D01F7" w:rsidR="007C7D1E" w:rsidRDefault="007C7D1E" w:rsidP="007C7D1E">
            <w:pPr>
              <w:pStyle w:val="TableRowCentered"/>
              <w:ind w:right="0"/>
              <w:jc w:val="left"/>
              <w:rPr>
                <w:sz w:val="22"/>
              </w:rPr>
            </w:pPr>
            <w:hyperlink r:id="rId27" w:history="1">
              <w:r w:rsidRPr="002662CF">
                <w:rPr>
                  <w:rStyle w:val="Hyperlink"/>
                  <w:sz w:val="22"/>
                </w:rPr>
                <w:t>https://assets.publishing.service.gov.uk/government/uploads/system/uploads/attachment_data/file/497825/Counselling_in_schools.pdf</w:t>
              </w:r>
            </w:hyperlink>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3A952899" w:rsidR="00717B45" w:rsidRDefault="00A7467F" w:rsidP="00717B45">
            <w:pPr>
              <w:pStyle w:val="TableRowCentered"/>
              <w:jc w:val="left"/>
              <w:rPr>
                <w:sz w:val="22"/>
              </w:rPr>
            </w:pPr>
            <w:r>
              <w:rPr>
                <w:sz w:val="22"/>
              </w:rPr>
              <w:t>4</w:t>
            </w:r>
          </w:p>
        </w:tc>
      </w:tr>
      <w:tr w:rsidR="002A4ACF" w14:paraId="0F98FF47" w14:textId="77777777" w:rsidTr="00C054A2">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5DD88" w14:textId="77777777" w:rsidR="002A4ACF" w:rsidRPr="003D684F" w:rsidRDefault="00243904" w:rsidP="00717B45">
            <w:pPr>
              <w:pStyle w:val="TableRow"/>
              <w:ind w:left="0"/>
              <w:rPr>
                <w:iCs/>
                <w:sz w:val="22"/>
              </w:rPr>
            </w:pPr>
            <w:r w:rsidRPr="003D684F">
              <w:rPr>
                <w:iCs/>
                <w:sz w:val="22"/>
              </w:rPr>
              <w:t>Strategies for raising the sense of belonging within school</w:t>
            </w:r>
          </w:p>
          <w:p w14:paraId="1CF37F35" w14:textId="77777777" w:rsidR="00243904" w:rsidRPr="003D684F" w:rsidRDefault="00243904" w:rsidP="00243904">
            <w:pPr>
              <w:pStyle w:val="TableRow"/>
              <w:numPr>
                <w:ilvl w:val="0"/>
                <w:numId w:val="31"/>
              </w:numPr>
              <w:rPr>
                <w:iCs/>
                <w:sz w:val="20"/>
                <w:szCs w:val="22"/>
              </w:rPr>
            </w:pPr>
            <w:r w:rsidRPr="003D684F">
              <w:rPr>
                <w:iCs/>
                <w:sz w:val="20"/>
                <w:szCs w:val="22"/>
              </w:rPr>
              <w:t>Staff CPD</w:t>
            </w:r>
          </w:p>
          <w:p w14:paraId="6A33B03E" w14:textId="77777777" w:rsidR="00243904" w:rsidRPr="003D684F" w:rsidRDefault="00243904" w:rsidP="00243904">
            <w:pPr>
              <w:pStyle w:val="TableRow"/>
              <w:numPr>
                <w:ilvl w:val="0"/>
                <w:numId w:val="31"/>
              </w:numPr>
              <w:rPr>
                <w:iCs/>
                <w:sz w:val="20"/>
                <w:szCs w:val="22"/>
              </w:rPr>
            </w:pPr>
            <w:r w:rsidRPr="003D684F">
              <w:rPr>
                <w:iCs/>
                <w:sz w:val="20"/>
                <w:szCs w:val="22"/>
              </w:rPr>
              <w:t>Clear vision</w:t>
            </w:r>
          </w:p>
          <w:p w14:paraId="5844E865" w14:textId="69FD59B5" w:rsidR="003D684F" w:rsidRPr="003D684F" w:rsidRDefault="003D684F" w:rsidP="00243904">
            <w:pPr>
              <w:pStyle w:val="TableRow"/>
              <w:numPr>
                <w:ilvl w:val="0"/>
                <w:numId w:val="31"/>
              </w:numPr>
              <w:rPr>
                <w:iCs/>
                <w:sz w:val="20"/>
                <w:szCs w:val="22"/>
              </w:rPr>
            </w:pPr>
            <w:r w:rsidRPr="003D684F">
              <w:rPr>
                <w:iCs/>
                <w:sz w:val="20"/>
                <w:szCs w:val="22"/>
              </w:rPr>
              <w:t>Revised learning behaviours and values</w:t>
            </w:r>
          </w:p>
          <w:p w14:paraId="14C58649" w14:textId="752E137C" w:rsidR="003D684F" w:rsidRPr="003D684F" w:rsidRDefault="003D684F" w:rsidP="00243904">
            <w:pPr>
              <w:pStyle w:val="TableRow"/>
              <w:numPr>
                <w:ilvl w:val="0"/>
                <w:numId w:val="31"/>
              </w:numPr>
              <w:rPr>
                <w:iCs/>
                <w:sz w:val="20"/>
                <w:szCs w:val="22"/>
              </w:rPr>
            </w:pPr>
            <w:r w:rsidRPr="003D684F">
              <w:rPr>
                <w:iCs/>
                <w:sz w:val="20"/>
                <w:szCs w:val="22"/>
              </w:rPr>
              <w:t>Community event</w:t>
            </w:r>
          </w:p>
          <w:p w14:paraId="567D0508" w14:textId="26A84FD5" w:rsidR="003D684F" w:rsidRPr="003D684F" w:rsidRDefault="003D684F" w:rsidP="00243904">
            <w:pPr>
              <w:pStyle w:val="TableRow"/>
              <w:numPr>
                <w:ilvl w:val="0"/>
                <w:numId w:val="31"/>
              </w:numPr>
              <w:rPr>
                <w:iCs/>
                <w:sz w:val="20"/>
                <w:szCs w:val="22"/>
              </w:rPr>
            </w:pPr>
            <w:r w:rsidRPr="003D684F">
              <w:rPr>
                <w:iCs/>
                <w:sz w:val="20"/>
                <w:szCs w:val="22"/>
              </w:rPr>
              <w:t>Development of pupil executive team</w:t>
            </w:r>
          </w:p>
          <w:p w14:paraId="0DC02671" w14:textId="1CA0D5F8" w:rsidR="00243904" w:rsidRPr="003D684F" w:rsidRDefault="00243904" w:rsidP="003D684F">
            <w:pPr>
              <w:pStyle w:val="TableRow"/>
              <w:numPr>
                <w:ilvl w:val="0"/>
                <w:numId w:val="31"/>
              </w:numPr>
              <w:rPr>
                <w:iCs/>
                <w:sz w:val="20"/>
                <w:szCs w:val="22"/>
              </w:rPr>
            </w:pPr>
            <w:r w:rsidRPr="003D684F">
              <w:rPr>
                <w:iCs/>
                <w:sz w:val="20"/>
                <w:szCs w:val="22"/>
              </w:rPr>
              <w:t>Stakeholder views</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6B752" w14:textId="5C2A436D" w:rsidR="00A40061" w:rsidRDefault="00A40061" w:rsidP="00B036DA">
            <w:pPr>
              <w:pStyle w:val="TableRowCentered"/>
              <w:ind w:right="0"/>
              <w:jc w:val="left"/>
              <w:rPr>
                <w:sz w:val="22"/>
              </w:rPr>
            </w:pPr>
            <w:r>
              <w:rPr>
                <w:sz w:val="22"/>
              </w:rPr>
              <w:t>Research has shown that a sense of belonging is important for pupil</w:t>
            </w:r>
            <w:r w:rsidR="001B088E">
              <w:rPr>
                <w:sz w:val="22"/>
              </w:rPr>
              <w:t>s’ learning and behaviour as pupils who have a sense of belonging in schools tend to be happier, more confident and perform better academically.</w:t>
            </w:r>
          </w:p>
          <w:p w14:paraId="6490A9E4" w14:textId="77777777" w:rsidR="00A40061" w:rsidRDefault="00A40061" w:rsidP="00B036DA">
            <w:pPr>
              <w:pStyle w:val="TableRowCentered"/>
              <w:ind w:right="0"/>
              <w:jc w:val="left"/>
              <w:rPr>
                <w:sz w:val="22"/>
              </w:rPr>
            </w:pPr>
          </w:p>
          <w:p w14:paraId="2773A52B" w14:textId="441309C4" w:rsidR="00A40061" w:rsidRDefault="00A40061" w:rsidP="00B036DA">
            <w:pPr>
              <w:pStyle w:val="TableRowCentered"/>
              <w:ind w:right="0"/>
              <w:jc w:val="left"/>
              <w:rPr>
                <w:sz w:val="22"/>
              </w:rPr>
            </w:pPr>
            <w:hyperlink r:id="rId28" w:history="1">
              <w:r w:rsidRPr="00647EE4">
                <w:rPr>
                  <w:rStyle w:val="Hyperlink"/>
                  <w:sz w:val="22"/>
                </w:rPr>
                <w:t>https://www.ucl.ac.uk/ioe/news/2020/nov/research-shows-sense-belonging-important-pupils-learning-and-behaviour</w:t>
              </w:r>
            </w:hyperlink>
          </w:p>
          <w:p w14:paraId="085FEEF5" w14:textId="77777777" w:rsidR="00A40061" w:rsidRDefault="00A40061" w:rsidP="00B036DA">
            <w:pPr>
              <w:pStyle w:val="TableRowCentered"/>
              <w:ind w:right="0"/>
              <w:jc w:val="left"/>
              <w:rPr>
                <w:sz w:val="22"/>
              </w:rPr>
            </w:pPr>
          </w:p>
          <w:p w14:paraId="73AC78EA" w14:textId="1730D307" w:rsidR="002A4ACF" w:rsidRDefault="00EC05B7" w:rsidP="00B036DA">
            <w:pPr>
              <w:pStyle w:val="TableRowCentered"/>
              <w:ind w:right="0"/>
              <w:jc w:val="left"/>
              <w:rPr>
                <w:sz w:val="22"/>
              </w:rPr>
            </w:pPr>
            <w:hyperlink r:id="rId29" w:history="1">
              <w:r w:rsidRPr="00647EE4">
                <w:rPr>
                  <w:rStyle w:val="Hyperlink"/>
                  <w:sz w:val="22"/>
                </w:rPr>
                <w:t>https://educationendowmentfoundation.org.uk/education-evidence/leadership-and-planning/supporting-attendance/build-a-culture-of-community-and-belonging-for-pupils</w:t>
              </w:r>
            </w:hyperlink>
          </w:p>
          <w:p w14:paraId="1F8F6A16" w14:textId="07DE6A5C" w:rsidR="00EC05B7" w:rsidRDefault="00EC05B7" w:rsidP="00B036DA">
            <w:pPr>
              <w:pStyle w:val="TableRowCentered"/>
              <w:ind w:right="0"/>
              <w:jc w:val="left"/>
              <w:rPr>
                <w:sz w:val="22"/>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587D6" w14:textId="1D80ACBA" w:rsidR="002A4ACF" w:rsidRDefault="00801CEA" w:rsidP="00717B45">
            <w:pPr>
              <w:pStyle w:val="TableRowCentered"/>
              <w:jc w:val="left"/>
              <w:rPr>
                <w:sz w:val="22"/>
              </w:rPr>
            </w:pPr>
            <w:r>
              <w:rPr>
                <w:sz w:val="22"/>
              </w:rPr>
              <w:t xml:space="preserve">1, 2, 3, 4 </w:t>
            </w:r>
          </w:p>
        </w:tc>
      </w:tr>
      <w:tr w:rsidR="00CA51C3" w14:paraId="68822620" w14:textId="77777777" w:rsidTr="00C054A2">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76BD" w14:textId="1A1F3EDE" w:rsidR="00CA51C3" w:rsidRDefault="002F6795" w:rsidP="00717B45">
            <w:pPr>
              <w:pStyle w:val="TableRow"/>
              <w:ind w:left="0"/>
              <w:rPr>
                <w:iCs/>
                <w:sz w:val="22"/>
              </w:rPr>
            </w:pPr>
            <w:r>
              <w:rPr>
                <w:iCs/>
                <w:sz w:val="22"/>
              </w:rPr>
              <w:t xml:space="preserve">Fund the cost of out of school </w:t>
            </w:r>
            <w:r w:rsidR="00060253">
              <w:rPr>
                <w:iCs/>
                <w:sz w:val="22"/>
              </w:rPr>
              <w:t>trips / experiences.</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3ADFE" w14:textId="77777777" w:rsidR="00CA51C3" w:rsidRDefault="00F636D5" w:rsidP="00B036DA">
            <w:pPr>
              <w:pStyle w:val="TableRowCentered"/>
              <w:ind w:right="0"/>
              <w:jc w:val="left"/>
              <w:rPr>
                <w:sz w:val="22"/>
              </w:rPr>
            </w:pPr>
            <w:r>
              <w:rPr>
                <w:sz w:val="22"/>
              </w:rPr>
              <w:t xml:space="preserve">Evidence shows that pupils learning is enhanced through greater engagement </w:t>
            </w:r>
            <w:r w:rsidR="00937948">
              <w:rPr>
                <w:sz w:val="22"/>
              </w:rPr>
              <w:t>in immersive education.</w:t>
            </w:r>
          </w:p>
          <w:p w14:paraId="2B626B07" w14:textId="38769C82" w:rsidR="00937948" w:rsidRDefault="00937948" w:rsidP="00B036DA">
            <w:pPr>
              <w:pStyle w:val="TableRowCentered"/>
              <w:ind w:right="0"/>
              <w:jc w:val="left"/>
              <w:rPr>
                <w:sz w:val="22"/>
              </w:rPr>
            </w:pPr>
            <w:r>
              <w:rPr>
                <w:sz w:val="22"/>
              </w:rPr>
              <w:t>EEF 3</w:t>
            </w:r>
            <w:r w:rsidR="00B2273D">
              <w:rPr>
                <w:sz w:val="22"/>
              </w:rPr>
              <w:t>-</w:t>
            </w:r>
            <w:r>
              <w:rPr>
                <w:sz w:val="22"/>
              </w:rPr>
              <w:t>6 months increase in learning progress.</w:t>
            </w:r>
          </w:p>
          <w:p w14:paraId="0B290E19" w14:textId="45F99CE4" w:rsidR="00937948" w:rsidRDefault="00937948" w:rsidP="00B036DA">
            <w:pPr>
              <w:pStyle w:val="TableRowCentered"/>
              <w:ind w:right="0"/>
              <w:jc w:val="left"/>
              <w:rPr>
                <w:sz w:val="22"/>
              </w:rPr>
            </w:pPr>
            <w:r>
              <w:rPr>
                <w:sz w:val="22"/>
              </w:rPr>
              <w:t xml:space="preserve">Creative and </w:t>
            </w:r>
            <w:r w:rsidR="00875508">
              <w:rPr>
                <w:sz w:val="22"/>
              </w:rPr>
              <w:t>connected curriculum shown to improve pupils’ engagement and raise standards.</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E9BF7" w14:textId="293ACB7C" w:rsidR="00CA51C3" w:rsidRDefault="00A23BC6" w:rsidP="00717B45">
            <w:pPr>
              <w:pStyle w:val="TableRowCentered"/>
              <w:jc w:val="left"/>
              <w:rPr>
                <w:sz w:val="22"/>
              </w:rPr>
            </w:pPr>
            <w:r>
              <w:rPr>
                <w:sz w:val="22"/>
              </w:rPr>
              <w:t>2, 5</w:t>
            </w:r>
          </w:p>
        </w:tc>
      </w:tr>
      <w:tr w:rsidR="00060253" w14:paraId="0A2F0BF0" w14:textId="77777777" w:rsidTr="00C054A2">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07095" w14:textId="15ACCC4F" w:rsidR="00060253" w:rsidRDefault="00B41FF3" w:rsidP="00717B45">
            <w:pPr>
              <w:pStyle w:val="TableRow"/>
              <w:ind w:left="0"/>
              <w:rPr>
                <w:iCs/>
                <w:sz w:val="22"/>
              </w:rPr>
            </w:pPr>
            <w:r>
              <w:rPr>
                <w:iCs/>
                <w:sz w:val="22"/>
              </w:rPr>
              <w:t>Uniform</w:t>
            </w:r>
            <w:r w:rsidR="00F642D2">
              <w:rPr>
                <w:iCs/>
                <w:sz w:val="22"/>
              </w:rPr>
              <w:t>, shoes or other items</w:t>
            </w:r>
            <w:r>
              <w:rPr>
                <w:iCs/>
                <w:sz w:val="22"/>
              </w:rPr>
              <w:t xml:space="preserve"> </w:t>
            </w:r>
            <w:r w:rsidR="008F66CB">
              <w:rPr>
                <w:iCs/>
                <w:sz w:val="22"/>
              </w:rPr>
              <w:t>purchased for our disadvantaged families who are in need and financially struggling</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BF5B8" w14:textId="52D979C3" w:rsidR="00060253" w:rsidRDefault="00B41FF3" w:rsidP="00B036DA">
            <w:pPr>
              <w:pStyle w:val="TableRowCentered"/>
              <w:ind w:right="0"/>
              <w:jc w:val="left"/>
              <w:rPr>
                <w:sz w:val="22"/>
              </w:rPr>
            </w:pPr>
            <w:r>
              <w:rPr>
                <w:sz w:val="22"/>
              </w:rPr>
              <w:t xml:space="preserve">Whilst it is </w:t>
            </w:r>
            <w:r w:rsidR="00FA57FE">
              <w:rPr>
                <w:sz w:val="22"/>
              </w:rPr>
              <w:t>acknowledged</w:t>
            </w:r>
            <w:r>
              <w:rPr>
                <w:sz w:val="22"/>
              </w:rPr>
              <w:t xml:space="preserve"> that uniform on its own does not increase attainment (EEF research), we believe that it is important to support the </w:t>
            </w:r>
            <w:r w:rsidR="00FA57FE">
              <w:rPr>
                <w:sz w:val="22"/>
              </w:rPr>
              <w:t>inclusion and well-being of our pupils who are eligible by removing the barrier.</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E7BC6" w14:textId="59C5AE40" w:rsidR="00060253" w:rsidRDefault="00D33650" w:rsidP="00717B45">
            <w:pPr>
              <w:pStyle w:val="TableRowCentered"/>
              <w:jc w:val="left"/>
              <w:rPr>
                <w:sz w:val="22"/>
              </w:rPr>
            </w:pPr>
            <w:r>
              <w:rPr>
                <w:sz w:val="22"/>
              </w:rPr>
              <w:t>3</w:t>
            </w:r>
            <w:r w:rsidR="00A23BC6">
              <w:rPr>
                <w:sz w:val="22"/>
              </w:rPr>
              <w:t>, 4</w:t>
            </w:r>
          </w:p>
        </w:tc>
      </w:tr>
      <w:tr w:rsidR="002E6511" w14:paraId="27FC6402" w14:textId="77777777" w:rsidTr="00C054A2">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E255F" w14:textId="661D9497" w:rsidR="002E6511" w:rsidRDefault="002E6511" w:rsidP="00717B45">
            <w:pPr>
              <w:pStyle w:val="TableRow"/>
              <w:ind w:left="0"/>
              <w:rPr>
                <w:iCs/>
                <w:sz w:val="22"/>
              </w:rPr>
            </w:pPr>
            <w:r>
              <w:rPr>
                <w:iCs/>
                <w:sz w:val="22"/>
              </w:rPr>
              <w:t>P</w:t>
            </w:r>
            <w:r w:rsidR="005356E4">
              <w:rPr>
                <w:iCs/>
                <w:sz w:val="22"/>
              </w:rPr>
              <w:t>arental Engagement</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C8E9E" w14:textId="67F8389E" w:rsidR="002E6511" w:rsidRDefault="009F0C1B" w:rsidP="00B036DA">
            <w:pPr>
              <w:pStyle w:val="TableRowCentered"/>
              <w:ind w:right="0"/>
              <w:jc w:val="left"/>
              <w:rPr>
                <w:sz w:val="22"/>
              </w:rPr>
            </w:pPr>
            <w:r>
              <w:rPr>
                <w:sz w:val="22"/>
              </w:rPr>
              <w:t>The Education Endowment Foundation found that parental engagement with their child’s learning activities</w:t>
            </w:r>
            <w:r w:rsidR="00A353B9">
              <w:rPr>
                <w:sz w:val="22"/>
              </w:rPr>
              <w:t xml:space="preserve"> has a positive impact with an average of 4 months additional progress</w:t>
            </w:r>
            <w:r w:rsidR="00E320E3">
              <w:rPr>
                <w:sz w:val="22"/>
              </w:rPr>
              <w:t xml:space="preserve"> in primacy school and rising to 5 months in </w:t>
            </w:r>
            <w:r w:rsidR="00CF3534">
              <w:rPr>
                <w:sz w:val="22"/>
              </w:rPr>
              <w:t>early years settings.</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82CD2" w14:textId="55C5577E" w:rsidR="002E6511" w:rsidRDefault="00CF3534" w:rsidP="00717B45">
            <w:pPr>
              <w:pStyle w:val="TableRowCentered"/>
              <w:jc w:val="left"/>
              <w:rPr>
                <w:sz w:val="22"/>
              </w:rPr>
            </w:pPr>
            <w:r>
              <w:rPr>
                <w:sz w:val="22"/>
              </w:rPr>
              <w:t>1, 2,3,4</w:t>
            </w:r>
          </w:p>
        </w:tc>
      </w:tr>
      <w:tr w:rsidR="00D465AF" w14:paraId="22FA7B0A" w14:textId="77777777" w:rsidTr="00C054A2">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9547C" w14:textId="19F156A4" w:rsidR="00D465AF" w:rsidRDefault="002E6511" w:rsidP="00717B45">
            <w:pPr>
              <w:pStyle w:val="TableRow"/>
              <w:ind w:left="0"/>
              <w:rPr>
                <w:iCs/>
                <w:sz w:val="22"/>
              </w:rPr>
            </w:pPr>
            <w:r>
              <w:rPr>
                <w:iCs/>
                <w:sz w:val="22"/>
              </w:rPr>
              <w:t>C</w:t>
            </w:r>
            <w:r w:rsidR="00D465AF">
              <w:rPr>
                <w:iCs/>
                <w:sz w:val="22"/>
              </w:rPr>
              <w:t>ontingency fund for acute issue</w:t>
            </w:r>
            <w:r w:rsidR="0087275A">
              <w:rPr>
                <w:iCs/>
                <w:sz w:val="22"/>
              </w:rPr>
              <w:t>s.</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AEB64" w14:textId="0BB8A815" w:rsidR="00D465AF" w:rsidRDefault="0087275A" w:rsidP="00B036DA">
            <w:pPr>
              <w:pStyle w:val="TableRowCentered"/>
              <w:ind w:right="0"/>
              <w:jc w:val="left"/>
              <w:rPr>
                <w:sz w:val="22"/>
              </w:rPr>
            </w:pPr>
            <w:r>
              <w:rPr>
                <w:sz w:val="22"/>
              </w:rPr>
              <w:t>Based on our experience and those of similar schools to ours</w:t>
            </w:r>
            <w:r w:rsidR="00DA598D">
              <w:rPr>
                <w:sz w:val="22"/>
              </w:rPr>
              <w:t>, we have identified a need to set a small amount of funding aside to respond quickly to needs that have no</w:t>
            </w:r>
            <w:r w:rsidR="004E6E78">
              <w:rPr>
                <w:sz w:val="22"/>
              </w:rPr>
              <w:t>t</w:t>
            </w:r>
            <w:r w:rsidR="00DA598D">
              <w:rPr>
                <w:sz w:val="22"/>
              </w:rPr>
              <w:t xml:space="preserve"> yet been identified.</w:t>
            </w:r>
          </w:p>
        </w:tc>
        <w:tc>
          <w:tcPr>
            <w:tcW w:w="20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54D12" w14:textId="7C8FA01E" w:rsidR="00D465AF" w:rsidRDefault="00DA598D" w:rsidP="00717B45">
            <w:pPr>
              <w:pStyle w:val="TableRowCentered"/>
              <w:jc w:val="left"/>
              <w:rPr>
                <w:sz w:val="22"/>
              </w:rPr>
            </w:pPr>
            <w:r>
              <w:rPr>
                <w:sz w:val="22"/>
              </w:rPr>
              <w:t>All</w:t>
            </w:r>
          </w:p>
        </w:tc>
      </w:tr>
    </w:tbl>
    <w:p w14:paraId="2A7D5540" w14:textId="77777777" w:rsidR="00E66558" w:rsidRDefault="00E66558">
      <w:pPr>
        <w:spacing w:before="240" w:after="0"/>
        <w:rPr>
          <w:b/>
          <w:bCs/>
          <w:color w:val="104F75"/>
          <w:sz w:val="28"/>
          <w:szCs w:val="28"/>
        </w:rPr>
      </w:pPr>
    </w:p>
    <w:p w14:paraId="4558B498" w14:textId="21F33135" w:rsidR="005E2B04" w:rsidRPr="004550DF" w:rsidRDefault="009D71E8" w:rsidP="005E2B04">
      <w:pPr>
        <w:pStyle w:val="TableRow"/>
        <w:rPr>
          <w:highlight w:val="green"/>
        </w:rPr>
      </w:pPr>
      <w:r>
        <w:rPr>
          <w:b/>
          <w:bCs/>
          <w:color w:val="104F75"/>
          <w:sz w:val="28"/>
          <w:szCs w:val="28"/>
        </w:rPr>
        <w:t xml:space="preserve">Total budgeted cost: </w:t>
      </w:r>
      <w:r w:rsidR="001C4262">
        <w:rPr>
          <w:b/>
          <w:bCs/>
          <w:color w:val="104F75"/>
          <w:sz w:val="28"/>
          <w:szCs w:val="28"/>
        </w:rPr>
        <w:t>£</w:t>
      </w:r>
      <w:r w:rsidR="00801CEA">
        <w:rPr>
          <w:b/>
          <w:bCs/>
          <w:color w:val="104F75"/>
          <w:sz w:val="28"/>
          <w:szCs w:val="28"/>
        </w:rPr>
        <w:t>194,324</w:t>
      </w:r>
    </w:p>
    <w:p w14:paraId="326BF17E" w14:textId="77777777" w:rsidR="00A347BE" w:rsidRDefault="00A347BE" w:rsidP="00120AB1">
      <w:pPr>
        <w:sectPr w:rsidR="00A347BE">
          <w:headerReference w:type="even" r:id="rId30"/>
          <w:headerReference w:type="default" r:id="rId31"/>
          <w:footerReference w:type="even" r:id="rId32"/>
          <w:footerReference w:type="default" r:id="rId33"/>
          <w:headerReference w:type="first" r:id="rId34"/>
          <w:footerReference w:type="first" r:id="rId35"/>
          <w:pgSz w:w="11906" w:h="16838"/>
          <w:pgMar w:top="1134" w:right="1276" w:bottom="1134" w:left="1134" w:header="709" w:footer="709" w:gutter="0"/>
          <w:cols w:space="720"/>
        </w:sectPr>
      </w:pPr>
    </w:p>
    <w:p w14:paraId="2A7D5542" w14:textId="06AF92ED" w:rsidR="00E66558" w:rsidRDefault="00A347BE">
      <w:pPr>
        <w:pStyle w:val="Heading1"/>
      </w:pPr>
      <w:r>
        <w:t>P</w:t>
      </w:r>
      <w:r w:rsidR="009D71E8">
        <w:t>art B: Review of out</w:t>
      </w:r>
      <w:r>
        <w:t>c</w:t>
      </w:r>
      <w:r w:rsidR="009D71E8">
        <w:t>omes in the previous academic year</w:t>
      </w:r>
    </w:p>
    <w:p w14:paraId="2A7D5543" w14:textId="77777777" w:rsidR="00E66558" w:rsidRDefault="009D71E8">
      <w:pPr>
        <w:pStyle w:val="Heading2"/>
      </w:pPr>
      <w:r>
        <w:t>Pupil premium strategy outcomes</w:t>
      </w:r>
    </w:p>
    <w:p w14:paraId="2A7D5544" w14:textId="38262D83" w:rsidR="00E66558" w:rsidRDefault="009D71E8">
      <w:r>
        <w:t>This details the impact that our pupil premium activity had on pupils in the 202</w:t>
      </w:r>
      <w:r w:rsidR="004241DE">
        <w:t>4</w:t>
      </w:r>
      <w:r>
        <w:t xml:space="preserve"> to 202</w:t>
      </w:r>
      <w:r w:rsidR="004241DE">
        <w:t>5</w:t>
      </w:r>
      <w:r>
        <w:t xml:space="preserve"> academic year. </w:t>
      </w:r>
    </w:p>
    <w:tbl>
      <w:tblPr>
        <w:tblStyle w:val="TableGrid"/>
        <w:tblW w:w="0" w:type="auto"/>
        <w:tblLook w:val="04A0" w:firstRow="1" w:lastRow="0" w:firstColumn="1" w:lastColumn="0" w:noHBand="0" w:noVBand="1"/>
      </w:tblPr>
      <w:tblGrid>
        <w:gridCol w:w="2106"/>
        <w:gridCol w:w="3958"/>
        <w:gridCol w:w="8496"/>
      </w:tblGrid>
      <w:tr w:rsidR="00E471F8" w14:paraId="23CC4796" w14:textId="77777777" w:rsidTr="001B09FF">
        <w:tc>
          <w:tcPr>
            <w:tcW w:w="14560" w:type="dxa"/>
            <w:gridSpan w:val="3"/>
          </w:tcPr>
          <w:p w14:paraId="55CC9065" w14:textId="04CC4D54" w:rsidR="00E471F8" w:rsidRPr="00354219" w:rsidRDefault="00E10189" w:rsidP="00E471F8">
            <w:pPr>
              <w:rPr>
                <w:sz w:val="22"/>
                <w:szCs w:val="22"/>
              </w:rPr>
            </w:pPr>
            <w:r w:rsidRPr="00354219">
              <w:rPr>
                <w:sz w:val="22"/>
                <w:szCs w:val="22"/>
              </w:rPr>
              <w:t xml:space="preserve">Progress against intended outcomes </w:t>
            </w:r>
          </w:p>
        </w:tc>
      </w:tr>
      <w:tr w:rsidR="007D01D6" w14:paraId="5A0BD8FA" w14:textId="77777777" w:rsidTr="00533110">
        <w:tc>
          <w:tcPr>
            <w:tcW w:w="2106" w:type="dxa"/>
          </w:tcPr>
          <w:p w14:paraId="6EE3179C" w14:textId="37374888" w:rsidR="00FF77FD" w:rsidRPr="00354219" w:rsidRDefault="00FF77FD" w:rsidP="00E471F8">
            <w:pPr>
              <w:rPr>
                <w:sz w:val="22"/>
                <w:szCs w:val="22"/>
              </w:rPr>
            </w:pPr>
            <w:r w:rsidRPr="00354219">
              <w:rPr>
                <w:sz w:val="22"/>
                <w:szCs w:val="22"/>
              </w:rPr>
              <w:t>Intended outcome</w:t>
            </w:r>
          </w:p>
        </w:tc>
        <w:tc>
          <w:tcPr>
            <w:tcW w:w="3958" w:type="dxa"/>
          </w:tcPr>
          <w:p w14:paraId="190DBEE0" w14:textId="0617F68E" w:rsidR="00FF77FD" w:rsidRPr="00354219" w:rsidRDefault="00FF77FD" w:rsidP="00E471F8">
            <w:pPr>
              <w:rPr>
                <w:sz w:val="22"/>
                <w:szCs w:val="22"/>
              </w:rPr>
            </w:pPr>
            <w:r w:rsidRPr="00354219">
              <w:rPr>
                <w:sz w:val="22"/>
                <w:szCs w:val="22"/>
              </w:rPr>
              <w:t>Strategies used</w:t>
            </w:r>
          </w:p>
        </w:tc>
        <w:tc>
          <w:tcPr>
            <w:tcW w:w="8496" w:type="dxa"/>
          </w:tcPr>
          <w:p w14:paraId="6C74DB3E" w14:textId="77E787CC" w:rsidR="00FF77FD" w:rsidRPr="00354219" w:rsidRDefault="00FF77FD" w:rsidP="00E471F8">
            <w:pPr>
              <w:rPr>
                <w:sz w:val="22"/>
                <w:szCs w:val="22"/>
              </w:rPr>
            </w:pPr>
            <w:r w:rsidRPr="00354219">
              <w:rPr>
                <w:sz w:val="22"/>
                <w:szCs w:val="22"/>
              </w:rPr>
              <w:t>Impact to date</w:t>
            </w:r>
          </w:p>
        </w:tc>
      </w:tr>
      <w:tr w:rsidR="007D01D6" w14:paraId="57475881" w14:textId="77777777" w:rsidTr="00533110">
        <w:tc>
          <w:tcPr>
            <w:tcW w:w="2106" w:type="dxa"/>
          </w:tcPr>
          <w:p w14:paraId="138FC79D" w14:textId="616E78B7" w:rsidR="00533110" w:rsidRPr="002B28F9" w:rsidRDefault="00533110" w:rsidP="00533110">
            <w:pPr>
              <w:rPr>
                <w:sz w:val="20"/>
                <w:szCs w:val="20"/>
              </w:rPr>
            </w:pPr>
            <w:r>
              <w:rPr>
                <w:sz w:val="22"/>
                <w:szCs w:val="22"/>
              </w:rPr>
              <w:t>To continue to improve the teaching of reading, phonics and oracy to ensure progress in language development, including vocabulary.</w:t>
            </w:r>
          </w:p>
        </w:tc>
        <w:tc>
          <w:tcPr>
            <w:tcW w:w="3958" w:type="dxa"/>
          </w:tcPr>
          <w:p w14:paraId="146F2446" w14:textId="77777777" w:rsidR="00533110" w:rsidRPr="008D13DD" w:rsidRDefault="00533110" w:rsidP="00533110">
            <w:pPr>
              <w:pStyle w:val="ListParagraph"/>
              <w:numPr>
                <w:ilvl w:val="0"/>
                <w:numId w:val="24"/>
              </w:numPr>
              <w:ind w:left="172" w:hanging="142"/>
              <w:rPr>
                <w:sz w:val="20"/>
                <w:szCs w:val="20"/>
              </w:rPr>
            </w:pPr>
            <w:r w:rsidRPr="008D13DD">
              <w:rPr>
                <w:sz w:val="20"/>
                <w:szCs w:val="20"/>
              </w:rPr>
              <w:t>Quality first teaching by providing CPD and quality feedback in reading and phonics.</w:t>
            </w:r>
          </w:p>
          <w:p w14:paraId="590E19EC" w14:textId="3B33F187" w:rsidR="00533110" w:rsidRPr="008D13DD" w:rsidRDefault="00533110" w:rsidP="00533110">
            <w:pPr>
              <w:pStyle w:val="ListParagraph"/>
              <w:numPr>
                <w:ilvl w:val="0"/>
                <w:numId w:val="24"/>
              </w:numPr>
              <w:ind w:left="172" w:hanging="142"/>
              <w:rPr>
                <w:sz w:val="20"/>
                <w:szCs w:val="20"/>
              </w:rPr>
            </w:pPr>
            <w:r w:rsidRPr="008D13DD">
              <w:rPr>
                <w:sz w:val="20"/>
                <w:szCs w:val="20"/>
              </w:rPr>
              <w:t>Key stage 2 phonics group for pupils who have not met phonics threshold</w:t>
            </w:r>
          </w:p>
          <w:p w14:paraId="7C62488A" w14:textId="72E06B38" w:rsidR="00533110" w:rsidRPr="008D13DD" w:rsidRDefault="00533110" w:rsidP="00533110">
            <w:pPr>
              <w:pStyle w:val="ListParagraph"/>
              <w:numPr>
                <w:ilvl w:val="0"/>
                <w:numId w:val="24"/>
              </w:numPr>
              <w:ind w:left="172" w:hanging="142"/>
              <w:rPr>
                <w:sz w:val="20"/>
                <w:szCs w:val="20"/>
              </w:rPr>
            </w:pPr>
            <w:r w:rsidRPr="008D13DD">
              <w:rPr>
                <w:sz w:val="20"/>
                <w:szCs w:val="20"/>
              </w:rPr>
              <w:t>Small group / one to one reactive phonics intervention approach.</w:t>
            </w:r>
          </w:p>
          <w:p w14:paraId="542BCC9B" w14:textId="312D7C5F" w:rsidR="00533110" w:rsidRPr="008D13DD" w:rsidRDefault="00533110" w:rsidP="00533110">
            <w:pPr>
              <w:pStyle w:val="ListParagraph"/>
              <w:numPr>
                <w:ilvl w:val="0"/>
                <w:numId w:val="24"/>
              </w:numPr>
              <w:ind w:left="172" w:hanging="142"/>
              <w:rPr>
                <w:sz w:val="20"/>
                <w:szCs w:val="20"/>
              </w:rPr>
            </w:pPr>
            <w:r w:rsidRPr="008D13DD">
              <w:rPr>
                <w:sz w:val="20"/>
                <w:szCs w:val="20"/>
              </w:rPr>
              <w:t xml:space="preserve">Precision </w:t>
            </w:r>
            <w:proofErr w:type="gramStart"/>
            <w:r w:rsidRPr="008D13DD">
              <w:rPr>
                <w:sz w:val="20"/>
                <w:szCs w:val="20"/>
              </w:rPr>
              <w:t>teach</w:t>
            </w:r>
            <w:proofErr w:type="gramEnd"/>
            <w:r w:rsidRPr="008D13DD">
              <w:rPr>
                <w:sz w:val="20"/>
                <w:szCs w:val="20"/>
              </w:rPr>
              <w:t xml:space="preserve"> for word reading for those falling behind</w:t>
            </w:r>
          </w:p>
          <w:p w14:paraId="60CBF3E0" w14:textId="77777777" w:rsidR="00533110" w:rsidRPr="008D13DD" w:rsidRDefault="00533110" w:rsidP="00533110">
            <w:pPr>
              <w:pStyle w:val="ListParagraph"/>
              <w:numPr>
                <w:ilvl w:val="0"/>
                <w:numId w:val="24"/>
              </w:numPr>
              <w:ind w:left="172" w:hanging="142"/>
              <w:rPr>
                <w:sz w:val="20"/>
                <w:szCs w:val="20"/>
              </w:rPr>
            </w:pPr>
            <w:r w:rsidRPr="008D13DD">
              <w:rPr>
                <w:sz w:val="20"/>
                <w:szCs w:val="20"/>
              </w:rPr>
              <w:t>1:1 reading opportunities for pupils</w:t>
            </w:r>
          </w:p>
          <w:p w14:paraId="423760CB" w14:textId="77777777" w:rsidR="00533110" w:rsidRPr="008D13DD" w:rsidRDefault="00533110" w:rsidP="00533110">
            <w:pPr>
              <w:pStyle w:val="ListParagraph"/>
              <w:numPr>
                <w:ilvl w:val="0"/>
                <w:numId w:val="24"/>
              </w:numPr>
              <w:ind w:left="172" w:hanging="142"/>
              <w:rPr>
                <w:sz w:val="20"/>
                <w:szCs w:val="20"/>
              </w:rPr>
            </w:pPr>
            <w:r w:rsidRPr="008D13DD">
              <w:rPr>
                <w:sz w:val="20"/>
                <w:szCs w:val="20"/>
              </w:rPr>
              <w:t xml:space="preserve">Extra 1:1 reading opportunities for PP and vulnerable pupils. </w:t>
            </w:r>
          </w:p>
          <w:p w14:paraId="3CA52F64" w14:textId="77777777" w:rsidR="00533110" w:rsidRPr="008D13DD" w:rsidRDefault="00533110" w:rsidP="00533110">
            <w:pPr>
              <w:pStyle w:val="ListParagraph"/>
              <w:numPr>
                <w:ilvl w:val="0"/>
                <w:numId w:val="24"/>
              </w:numPr>
              <w:ind w:left="172" w:hanging="142"/>
              <w:rPr>
                <w:sz w:val="20"/>
                <w:szCs w:val="20"/>
              </w:rPr>
            </w:pPr>
            <w:r w:rsidRPr="008D13DD">
              <w:rPr>
                <w:sz w:val="20"/>
                <w:szCs w:val="20"/>
              </w:rPr>
              <w:t>Use of videos by staff member for parents to access regarding pure sounds</w:t>
            </w:r>
          </w:p>
          <w:p w14:paraId="00482AA7" w14:textId="77777777" w:rsidR="00533110" w:rsidRPr="008D13DD" w:rsidRDefault="00533110" w:rsidP="00533110">
            <w:pPr>
              <w:pStyle w:val="ListParagraph"/>
              <w:numPr>
                <w:ilvl w:val="0"/>
                <w:numId w:val="24"/>
              </w:numPr>
              <w:ind w:left="172" w:hanging="142"/>
              <w:rPr>
                <w:sz w:val="20"/>
                <w:szCs w:val="20"/>
              </w:rPr>
            </w:pPr>
            <w:r w:rsidRPr="008D13DD">
              <w:rPr>
                <w:sz w:val="20"/>
                <w:szCs w:val="20"/>
              </w:rPr>
              <w:t>Phonics resources distributed to parents for use with their children</w:t>
            </w:r>
          </w:p>
          <w:p w14:paraId="41F8AE9B" w14:textId="77777777" w:rsidR="00533110" w:rsidRPr="008D13DD" w:rsidRDefault="00533110" w:rsidP="00533110">
            <w:pPr>
              <w:pStyle w:val="ListParagraph"/>
              <w:numPr>
                <w:ilvl w:val="0"/>
                <w:numId w:val="24"/>
              </w:numPr>
              <w:ind w:left="172" w:hanging="142"/>
              <w:rPr>
                <w:sz w:val="20"/>
                <w:szCs w:val="20"/>
              </w:rPr>
            </w:pPr>
            <w:r w:rsidRPr="008D13DD">
              <w:rPr>
                <w:sz w:val="20"/>
                <w:szCs w:val="20"/>
              </w:rPr>
              <w:t>Use of Accelerated reader to promote reading for pleasure</w:t>
            </w:r>
          </w:p>
          <w:p w14:paraId="45E86863" w14:textId="77777777" w:rsidR="00533110" w:rsidRPr="008D13DD" w:rsidRDefault="00533110" w:rsidP="00533110">
            <w:pPr>
              <w:pStyle w:val="ListParagraph"/>
              <w:numPr>
                <w:ilvl w:val="0"/>
                <w:numId w:val="24"/>
              </w:numPr>
              <w:ind w:left="172" w:hanging="142"/>
              <w:rPr>
                <w:sz w:val="20"/>
                <w:szCs w:val="20"/>
              </w:rPr>
            </w:pPr>
            <w:r w:rsidRPr="008D13DD">
              <w:rPr>
                <w:sz w:val="20"/>
                <w:szCs w:val="20"/>
              </w:rPr>
              <w:t>Immediate identification of pupils below or at risk of falling below in reading for additional interventions.</w:t>
            </w:r>
          </w:p>
          <w:p w14:paraId="0DE98EE1" w14:textId="7670A3F3" w:rsidR="00533110" w:rsidRPr="008D13DD" w:rsidRDefault="00533110" w:rsidP="00533110">
            <w:pPr>
              <w:pStyle w:val="ListParagraph"/>
              <w:numPr>
                <w:ilvl w:val="0"/>
                <w:numId w:val="24"/>
              </w:numPr>
              <w:ind w:left="172" w:hanging="142"/>
              <w:rPr>
                <w:sz w:val="20"/>
                <w:szCs w:val="20"/>
              </w:rPr>
            </w:pPr>
            <w:r w:rsidRPr="008D13DD">
              <w:rPr>
                <w:sz w:val="20"/>
                <w:szCs w:val="20"/>
              </w:rPr>
              <w:t>Reading booster sessions and intervention for vulnerable pupils across school</w:t>
            </w:r>
          </w:p>
        </w:tc>
        <w:tc>
          <w:tcPr>
            <w:tcW w:w="8496" w:type="dxa"/>
          </w:tcPr>
          <w:p w14:paraId="7F3A15D8" w14:textId="649FA905" w:rsidR="00533110" w:rsidRPr="004802DC" w:rsidRDefault="00533110" w:rsidP="00533110">
            <w:pPr>
              <w:rPr>
                <w:b/>
                <w:bCs/>
                <w:sz w:val="20"/>
                <w:szCs w:val="20"/>
                <w:u w:val="single"/>
              </w:rPr>
            </w:pPr>
            <w:r w:rsidRPr="004802DC">
              <w:rPr>
                <w:b/>
                <w:bCs/>
                <w:sz w:val="20"/>
                <w:szCs w:val="20"/>
                <w:u w:val="single"/>
              </w:rPr>
              <w:t>EYFS</w:t>
            </w:r>
          </w:p>
          <w:p w14:paraId="713727CA" w14:textId="7F367199" w:rsidR="00533110" w:rsidRPr="00236B6E" w:rsidRDefault="004B1473" w:rsidP="00533110">
            <w:pPr>
              <w:rPr>
                <w:b/>
                <w:bCs/>
                <w:sz w:val="20"/>
                <w:szCs w:val="20"/>
                <w:highlight w:val="yellow"/>
                <w:u w:val="single"/>
              </w:rPr>
            </w:pPr>
            <w:r w:rsidRPr="004B1473">
              <w:rPr>
                <w:b/>
                <w:bCs/>
                <w:noProof/>
                <w:sz w:val="20"/>
                <w:szCs w:val="20"/>
                <w:u w:val="single"/>
              </w:rPr>
              <w:drawing>
                <wp:inline distT="0" distB="0" distL="0" distR="0" wp14:anchorId="66B0FEFA" wp14:editId="3FE7F89F">
                  <wp:extent cx="5034061" cy="262890"/>
                  <wp:effectExtent l="0" t="0" r="0" b="3810"/>
                  <wp:docPr id="1982206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206350" name=""/>
                          <pic:cNvPicPr/>
                        </pic:nvPicPr>
                        <pic:blipFill>
                          <a:blip r:embed="rId36"/>
                          <a:stretch>
                            <a:fillRect/>
                          </a:stretch>
                        </pic:blipFill>
                        <pic:spPr>
                          <a:xfrm>
                            <a:off x="0" y="0"/>
                            <a:ext cx="5222830" cy="272748"/>
                          </a:xfrm>
                          <a:prstGeom prst="rect">
                            <a:avLst/>
                          </a:prstGeom>
                        </pic:spPr>
                      </pic:pic>
                    </a:graphicData>
                  </a:graphic>
                </wp:inline>
              </w:drawing>
            </w:r>
          </w:p>
          <w:p w14:paraId="56EEFE0C" w14:textId="5FE3C5E3" w:rsidR="00C90F58" w:rsidRDefault="00533110" w:rsidP="00533110">
            <w:pPr>
              <w:rPr>
                <w:sz w:val="20"/>
                <w:szCs w:val="20"/>
              </w:rPr>
            </w:pPr>
            <w:r w:rsidRPr="004802DC">
              <w:rPr>
                <w:sz w:val="20"/>
                <w:szCs w:val="20"/>
              </w:rPr>
              <w:t>Data shows a gap between school and national GLD attainment of</w:t>
            </w:r>
            <w:r w:rsidR="00200333" w:rsidRPr="004802DC">
              <w:rPr>
                <w:sz w:val="20"/>
                <w:szCs w:val="20"/>
              </w:rPr>
              <w:t xml:space="preserve"> -4.7%.  We are therefore demonstrating that we are closing the gap when compared to last academic </w:t>
            </w:r>
            <w:r w:rsidR="004802DC" w:rsidRPr="004802DC">
              <w:rPr>
                <w:sz w:val="20"/>
                <w:szCs w:val="20"/>
              </w:rPr>
              <w:t>year</w:t>
            </w:r>
            <w:r w:rsidR="00200333" w:rsidRPr="004802DC">
              <w:rPr>
                <w:sz w:val="20"/>
                <w:szCs w:val="20"/>
              </w:rPr>
              <w:t>.</w:t>
            </w:r>
            <w:r w:rsidRPr="004802DC">
              <w:rPr>
                <w:sz w:val="20"/>
                <w:szCs w:val="20"/>
              </w:rPr>
              <w:t xml:space="preserve">  We will continue to drive standards in meeting GLD for our EYFS pupils</w:t>
            </w:r>
            <w:r w:rsidR="00CC1A09">
              <w:rPr>
                <w:sz w:val="20"/>
                <w:szCs w:val="20"/>
              </w:rPr>
              <w:t xml:space="preserve"> in line with National Averages.</w:t>
            </w:r>
          </w:p>
          <w:p w14:paraId="2B2BF9CB" w14:textId="11360E04" w:rsidR="009D797C" w:rsidRDefault="009D797C" w:rsidP="00533110">
            <w:pPr>
              <w:rPr>
                <w:sz w:val="20"/>
                <w:szCs w:val="20"/>
              </w:rPr>
            </w:pPr>
            <w:r>
              <w:rPr>
                <w:sz w:val="20"/>
                <w:szCs w:val="20"/>
              </w:rPr>
              <w:t xml:space="preserve">Our </w:t>
            </w:r>
            <w:r w:rsidR="0091079C">
              <w:rPr>
                <w:sz w:val="20"/>
                <w:szCs w:val="20"/>
              </w:rPr>
              <w:t xml:space="preserve">low base lines and high numbers of </w:t>
            </w:r>
            <w:r w:rsidR="00A30EFA">
              <w:rPr>
                <w:sz w:val="20"/>
                <w:szCs w:val="20"/>
              </w:rPr>
              <w:t>pupils</w:t>
            </w:r>
            <w:r w:rsidR="0091079C">
              <w:rPr>
                <w:sz w:val="20"/>
                <w:szCs w:val="20"/>
              </w:rPr>
              <w:t xml:space="preserve"> with English as an additional language impact our attainment in the ELG of Communication and language</w:t>
            </w:r>
            <w:r w:rsidR="00157B1F">
              <w:rPr>
                <w:sz w:val="20"/>
                <w:szCs w:val="20"/>
              </w:rPr>
              <w:t xml:space="preserve">.  </w:t>
            </w:r>
          </w:p>
          <w:tbl>
            <w:tblPr>
              <w:tblStyle w:val="TableGrid"/>
              <w:tblW w:w="0" w:type="auto"/>
              <w:jc w:val="center"/>
              <w:tblLook w:val="04A0" w:firstRow="1" w:lastRow="0" w:firstColumn="1" w:lastColumn="0" w:noHBand="0" w:noVBand="1"/>
            </w:tblPr>
            <w:tblGrid>
              <w:gridCol w:w="2035"/>
              <w:gridCol w:w="1844"/>
              <w:gridCol w:w="1472"/>
              <w:gridCol w:w="1276"/>
              <w:gridCol w:w="1368"/>
            </w:tblGrid>
            <w:tr w:rsidR="009140F2" w14:paraId="595C4684" w14:textId="33B81D1D" w:rsidTr="00947D0D">
              <w:trPr>
                <w:trHeight w:val="519"/>
                <w:jc w:val="center"/>
              </w:trPr>
              <w:tc>
                <w:tcPr>
                  <w:tcW w:w="2035" w:type="dxa"/>
                </w:tcPr>
                <w:p w14:paraId="58E15244" w14:textId="77777777" w:rsidR="009140F2" w:rsidRDefault="009140F2" w:rsidP="00947D0D">
                  <w:pPr>
                    <w:pStyle w:val="NoSpacing"/>
                    <w:jc w:val="center"/>
                  </w:pPr>
                </w:p>
              </w:tc>
              <w:tc>
                <w:tcPr>
                  <w:tcW w:w="5960" w:type="dxa"/>
                  <w:gridSpan w:val="4"/>
                </w:tcPr>
                <w:p w14:paraId="3941A62C" w14:textId="0D0AC6AC" w:rsidR="009140F2" w:rsidRDefault="009140F2" w:rsidP="00947D0D">
                  <w:pPr>
                    <w:pStyle w:val="NoSpacing"/>
                    <w:jc w:val="center"/>
                  </w:pPr>
                  <w:r>
                    <w:t>Communication and Language</w:t>
                  </w:r>
                </w:p>
              </w:tc>
            </w:tr>
            <w:tr w:rsidR="000C0E97" w14:paraId="6CA2C8EF" w14:textId="77777777" w:rsidTr="00947D0D">
              <w:trPr>
                <w:trHeight w:val="529"/>
                <w:jc w:val="center"/>
              </w:trPr>
              <w:tc>
                <w:tcPr>
                  <w:tcW w:w="2035" w:type="dxa"/>
                </w:tcPr>
                <w:p w14:paraId="590ED905" w14:textId="77777777" w:rsidR="000C0E97" w:rsidRDefault="000C0E97" w:rsidP="00947D0D">
                  <w:pPr>
                    <w:pStyle w:val="NoSpacing"/>
                    <w:jc w:val="center"/>
                  </w:pPr>
                </w:p>
              </w:tc>
              <w:tc>
                <w:tcPr>
                  <w:tcW w:w="3316" w:type="dxa"/>
                  <w:gridSpan w:val="2"/>
                </w:tcPr>
                <w:p w14:paraId="4050562F" w14:textId="5A04990E" w:rsidR="000C0E97" w:rsidRDefault="000C0E97" w:rsidP="00947D0D">
                  <w:pPr>
                    <w:pStyle w:val="NoSpacing"/>
                    <w:jc w:val="center"/>
                  </w:pPr>
                  <w:r w:rsidRPr="000C0E97">
                    <w:t>Listening, Attention and Understanding</w:t>
                  </w:r>
                </w:p>
              </w:tc>
              <w:tc>
                <w:tcPr>
                  <w:tcW w:w="2644" w:type="dxa"/>
                  <w:gridSpan w:val="2"/>
                </w:tcPr>
                <w:p w14:paraId="5BBC94BC" w14:textId="71746363" w:rsidR="000C0E97" w:rsidRDefault="000C0E97" w:rsidP="00947D0D">
                  <w:pPr>
                    <w:pStyle w:val="NoSpacing"/>
                    <w:jc w:val="center"/>
                  </w:pPr>
                  <w:r>
                    <w:t>Speaking</w:t>
                  </w:r>
                </w:p>
              </w:tc>
            </w:tr>
            <w:tr w:rsidR="000C0E97" w14:paraId="68D31681" w14:textId="199C3B18" w:rsidTr="00580624">
              <w:trPr>
                <w:trHeight w:val="679"/>
                <w:jc w:val="center"/>
              </w:trPr>
              <w:tc>
                <w:tcPr>
                  <w:tcW w:w="2035" w:type="dxa"/>
                </w:tcPr>
                <w:p w14:paraId="440A27C5" w14:textId="19555453" w:rsidR="000C0E97" w:rsidRDefault="000C0E97" w:rsidP="00947D0D">
                  <w:pPr>
                    <w:pStyle w:val="NoSpacing"/>
                    <w:jc w:val="center"/>
                  </w:pPr>
                </w:p>
              </w:tc>
              <w:tc>
                <w:tcPr>
                  <w:tcW w:w="1844" w:type="dxa"/>
                </w:tcPr>
                <w:p w14:paraId="54A48708" w14:textId="18722704" w:rsidR="000C0E97" w:rsidRDefault="000C0E97" w:rsidP="00947D0D">
                  <w:pPr>
                    <w:pStyle w:val="NoSpacing"/>
                    <w:jc w:val="center"/>
                  </w:pPr>
                  <w:r>
                    <w:t>St Ann’s Well Academy</w:t>
                  </w:r>
                </w:p>
              </w:tc>
              <w:tc>
                <w:tcPr>
                  <w:tcW w:w="1472" w:type="dxa"/>
                </w:tcPr>
                <w:p w14:paraId="46DD2F46" w14:textId="1A3AEB9F" w:rsidR="000C0E97" w:rsidRDefault="000C0E97" w:rsidP="00947D0D">
                  <w:pPr>
                    <w:pStyle w:val="NoSpacing"/>
                    <w:jc w:val="center"/>
                  </w:pPr>
                  <w:r>
                    <w:t>National Average</w:t>
                  </w:r>
                </w:p>
              </w:tc>
              <w:tc>
                <w:tcPr>
                  <w:tcW w:w="1276" w:type="dxa"/>
                </w:tcPr>
                <w:p w14:paraId="109ACE7B" w14:textId="60648EA5" w:rsidR="000C0E97" w:rsidRDefault="000C0E97" w:rsidP="00947D0D">
                  <w:pPr>
                    <w:pStyle w:val="NoSpacing"/>
                    <w:jc w:val="center"/>
                  </w:pPr>
                  <w:r>
                    <w:t>St Ann’s Well Academy</w:t>
                  </w:r>
                </w:p>
              </w:tc>
              <w:tc>
                <w:tcPr>
                  <w:tcW w:w="1368" w:type="dxa"/>
                </w:tcPr>
                <w:p w14:paraId="1993D2A6" w14:textId="4FB752DF" w:rsidR="000C0E97" w:rsidRDefault="000C0E97" w:rsidP="00947D0D">
                  <w:pPr>
                    <w:pStyle w:val="NoSpacing"/>
                    <w:jc w:val="center"/>
                  </w:pPr>
                  <w:r>
                    <w:t xml:space="preserve">National </w:t>
                  </w:r>
                  <w:r w:rsidR="00041A54">
                    <w:t>A</w:t>
                  </w:r>
                  <w:r>
                    <w:t>verage</w:t>
                  </w:r>
                </w:p>
              </w:tc>
            </w:tr>
            <w:tr w:rsidR="000C0E97" w14:paraId="6C212AED" w14:textId="6AD3030A" w:rsidTr="00580624">
              <w:trPr>
                <w:trHeight w:val="519"/>
                <w:jc w:val="center"/>
              </w:trPr>
              <w:tc>
                <w:tcPr>
                  <w:tcW w:w="2035" w:type="dxa"/>
                </w:tcPr>
                <w:p w14:paraId="05134A01" w14:textId="7B2F9C3D" w:rsidR="000C0E97" w:rsidRDefault="000C0E97" w:rsidP="00947D0D">
                  <w:pPr>
                    <w:pStyle w:val="NoSpacing"/>
                    <w:jc w:val="center"/>
                  </w:pPr>
                  <w:r>
                    <w:t>2025</w:t>
                  </w:r>
                </w:p>
              </w:tc>
              <w:tc>
                <w:tcPr>
                  <w:tcW w:w="1844" w:type="dxa"/>
                </w:tcPr>
                <w:p w14:paraId="500AB47F" w14:textId="6C89BB88" w:rsidR="000C0E97" w:rsidRDefault="000C0E97" w:rsidP="00947D0D">
                  <w:pPr>
                    <w:pStyle w:val="NoSpacing"/>
                    <w:jc w:val="center"/>
                  </w:pPr>
                  <w:r>
                    <w:t>72.7%</w:t>
                  </w:r>
                </w:p>
              </w:tc>
              <w:tc>
                <w:tcPr>
                  <w:tcW w:w="1472" w:type="dxa"/>
                </w:tcPr>
                <w:p w14:paraId="45BB4574" w14:textId="40976BDF" w:rsidR="000C0E97" w:rsidRDefault="000C0E97" w:rsidP="00947D0D">
                  <w:pPr>
                    <w:pStyle w:val="NoSpacing"/>
                    <w:jc w:val="center"/>
                  </w:pPr>
                  <w:r>
                    <w:t>81.7%</w:t>
                  </w:r>
                </w:p>
              </w:tc>
              <w:tc>
                <w:tcPr>
                  <w:tcW w:w="1276" w:type="dxa"/>
                </w:tcPr>
                <w:p w14:paraId="5EA933F0" w14:textId="08D8839A" w:rsidR="000C0E97" w:rsidRDefault="000C0E97" w:rsidP="00947D0D">
                  <w:pPr>
                    <w:pStyle w:val="NoSpacing"/>
                    <w:jc w:val="center"/>
                  </w:pPr>
                  <w:r>
                    <w:t>68.2%</w:t>
                  </w:r>
                </w:p>
              </w:tc>
              <w:tc>
                <w:tcPr>
                  <w:tcW w:w="1368" w:type="dxa"/>
                </w:tcPr>
                <w:p w14:paraId="3C289317" w14:textId="4F570E83" w:rsidR="000C0E97" w:rsidRDefault="006E5F65" w:rsidP="00947D0D">
                  <w:pPr>
                    <w:pStyle w:val="NoSpacing"/>
                    <w:jc w:val="center"/>
                  </w:pPr>
                  <w:r>
                    <w:t>82.7%</w:t>
                  </w:r>
                </w:p>
              </w:tc>
            </w:tr>
          </w:tbl>
          <w:p w14:paraId="2C5E2F4D" w14:textId="77777777" w:rsidR="00157B1F" w:rsidRDefault="00157B1F" w:rsidP="00533110">
            <w:pPr>
              <w:rPr>
                <w:sz w:val="20"/>
                <w:szCs w:val="20"/>
              </w:rPr>
            </w:pPr>
          </w:p>
          <w:p w14:paraId="79E0C6E8" w14:textId="77777777" w:rsidR="00CC1A09" w:rsidRDefault="00CC1A09" w:rsidP="00533110">
            <w:pPr>
              <w:rPr>
                <w:b/>
                <w:bCs/>
                <w:sz w:val="20"/>
                <w:szCs w:val="20"/>
                <w:u w:val="single"/>
              </w:rPr>
            </w:pPr>
            <w:r w:rsidRPr="00B64666">
              <w:rPr>
                <w:sz w:val="20"/>
                <w:szCs w:val="20"/>
              </w:rPr>
              <w:drawing>
                <wp:inline distT="0" distB="0" distL="0" distR="0" wp14:anchorId="40B4B5BF" wp14:editId="604CBF23">
                  <wp:extent cx="2940530" cy="2125980"/>
                  <wp:effectExtent l="0" t="0" r="0" b="7620"/>
                  <wp:docPr id="198115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15146" name=""/>
                          <pic:cNvPicPr/>
                        </pic:nvPicPr>
                        <pic:blipFill>
                          <a:blip r:embed="rId37"/>
                          <a:stretch>
                            <a:fillRect/>
                          </a:stretch>
                        </pic:blipFill>
                        <pic:spPr>
                          <a:xfrm>
                            <a:off x="0" y="0"/>
                            <a:ext cx="2978317" cy="2153300"/>
                          </a:xfrm>
                          <a:prstGeom prst="rect">
                            <a:avLst/>
                          </a:prstGeom>
                        </pic:spPr>
                      </pic:pic>
                    </a:graphicData>
                  </a:graphic>
                </wp:inline>
              </w:drawing>
            </w:r>
          </w:p>
          <w:p w14:paraId="2F529BBE" w14:textId="6532D9F6" w:rsidR="00533110" w:rsidRPr="007D01D6" w:rsidRDefault="00533110" w:rsidP="00533110">
            <w:pPr>
              <w:rPr>
                <w:b/>
                <w:bCs/>
                <w:sz w:val="20"/>
                <w:szCs w:val="20"/>
                <w:u w:val="single"/>
              </w:rPr>
            </w:pPr>
            <w:r w:rsidRPr="007D01D6">
              <w:rPr>
                <w:b/>
                <w:bCs/>
                <w:sz w:val="20"/>
                <w:szCs w:val="20"/>
                <w:u w:val="single"/>
              </w:rPr>
              <w:t>Year 1 Phonics</w:t>
            </w:r>
          </w:p>
          <w:p w14:paraId="0EC47E7F" w14:textId="24E3A9D0" w:rsidR="004C53B2" w:rsidRPr="007D01D6" w:rsidRDefault="004C53B2" w:rsidP="00533110">
            <w:pPr>
              <w:rPr>
                <w:b/>
                <w:bCs/>
                <w:sz w:val="18"/>
                <w:szCs w:val="18"/>
                <w:u w:val="single"/>
              </w:rPr>
            </w:pPr>
            <w:r w:rsidRPr="007D01D6">
              <w:rPr>
                <w:b/>
                <w:bCs/>
                <w:sz w:val="18"/>
                <w:szCs w:val="18"/>
                <w:u w:val="single"/>
              </w:rPr>
              <w:t xml:space="preserve">Percentage </w:t>
            </w:r>
            <w:r w:rsidR="00B267BF" w:rsidRPr="007D01D6">
              <w:rPr>
                <w:b/>
                <w:bCs/>
                <w:sz w:val="18"/>
                <w:szCs w:val="18"/>
                <w:u w:val="single"/>
              </w:rPr>
              <w:t>working at:</w:t>
            </w:r>
          </w:p>
          <w:p w14:paraId="155E8E7B" w14:textId="2793DDFB" w:rsidR="00C023AC" w:rsidRDefault="00C023AC" w:rsidP="00533110">
            <w:pPr>
              <w:rPr>
                <w:b/>
                <w:bCs/>
                <w:sz w:val="20"/>
                <w:szCs w:val="20"/>
                <w:highlight w:val="yellow"/>
                <w:u w:val="single"/>
              </w:rPr>
            </w:pPr>
            <w:r w:rsidRPr="00C023AC">
              <w:rPr>
                <w:b/>
                <w:bCs/>
                <w:noProof/>
                <w:sz w:val="20"/>
                <w:szCs w:val="20"/>
                <w:u w:val="single"/>
              </w:rPr>
              <w:drawing>
                <wp:inline distT="0" distB="0" distL="0" distR="0" wp14:anchorId="6EB7B468" wp14:editId="7F9722D2">
                  <wp:extent cx="5036434" cy="345385"/>
                  <wp:effectExtent l="0" t="0" r="0" b="0"/>
                  <wp:docPr id="64548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48904" name=""/>
                          <pic:cNvPicPr/>
                        </pic:nvPicPr>
                        <pic:blipFill>
                          <a:blip r:embed="rId38"/>
                          <a:stretch>
                            <a:fillRect/>
                          </a:stretch>
                        </pic:blipFill>
                        <pic:spPr>
                          <a:xfrm>
                            <a:off x="0" y="0"/>
                            <a:ext cx="5376038" cy="368674"/>
                          </a:xfrm>
                          <a:prstGeom prst="rect">
                            <a:avLst/>
                          </a:prstGeom>
                        </pic:spPr>
                      </pic:pic>
                    </a:graphicData>
                  </a:graphic>
                </wp:inline>
              </w:drawing>
            </w:r>
          </w:p>
          <w:p w14:paraId="217BCDB0" w14:textId="0E88033C" w:rsidR="00C023AC" w:rsidRPr="007D01D6" w:rsidRDefault="007D01D6" w:rsidP="00533110">
            <w:pPr>
              <w:rPr>
                <w:b/>
                <w:bCs/>
                <w:sz w:val="18"/>
                <w:szCs w:val="18"/>
                <w:u w:val="single"/>
              </w:rPr>
            </w:pPr>
            <w:r w:rsidRPr="007D01D6">
              <w:rPr>
                <w:b/>
                <w:bCs/>
                <w:sz w:val="18"/>
                <w:szCs w:val="18"/>
                <w:u w:val="single"/>
              </w:rPr>
              <w:t>Average number of words:</w:t>
            </w:r>
          </w:p>
          <w:p w14:paraId="3D617E76" w14:textId="71EB6C06" w:rsidR="007D01D6" w:rsidRPr="00236B6E" w:rsidRDefault="007D01D6" w:rsidP="00533110">
            <w:pPr>
              <w:rPr>
                <w:b/>
                <w:bCs/>
                <w:sz w:val="20"/>
                <w:szCs w:val="20"/>
                <w:highlight w:val="yellow"/>
                <w:u w:val="single"/>
              </w:rPr>
            </w:pPr>
            <w:r w:rsidRPr="007D01D6">
              <w:rPr>
                <w:b/>
                <w:bCs/>
                <w:noProof/>
                <w:sz w:val="20"/>
                <w:szCs w:val="20"/>
                <w:u w:val="single"/>
              </w:rPr>
              <w:drawing>
                <wp:inline distT="0" distB="0" distL="0" distR="0" wp14:anchorId="6F9C0682" wp14:editId="54373DD6">
                  <wp:extent cx="5036185" cy="374379"/>
                  <wp:effectExtent l="0" t="0" r="0" b="6985"/>
                  <wp:docPr id="144379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79793" name=""/>
                          <pic:cNvPicPr/>
                        </pic:nvPicPr>
                        <pic:blipFill>
                          <a:blip r:embed="rId39"/>
                          <a:stretch>
                            <a:fillRect/>
                          </a:stretch>
                        </pic:blipFill>
                        <pic:spPr>
                          <a:xfrm>
                            <a:off x="0" y="0"/>
                            <a:ext cx="5229262" cy="388732"/>
                          </a:xfrm>
                          <a:prstGeom prst="rect">
                            <a:avLst/>
                          </a:prstGeom>
                        </pic:spPr>
                      </pic:pic>
                    </a:graphicData>
                  </a:graphic>
                </wp:inline>
              </w:drawing>
            </w:r>
          </w:p>
          <w:p w14:paraId="0314132B" w14:textId="77777777" w:rsidR="008933F5" w:rsidRDefault="005E4829" w:rsidP="00533110">
            <w:pPr>
              <w:rPr>
                <w:sz w:val="20"/>
                <w:szCs w:val="20"/>
              </w:rPr>
            </w:pPr>
            <w:r w:rsidRPr="00FD5E70">
              <w:rPr>
                <w:sz w:val="20"/>
                <w:szCs w:val="20"/>
              </w:rPr>
              <w:t>The percentage of children passing the phonics screening was much lower than in 2024.  This is due to a high percentage of SEND pupils within this cohort.</w:t>
            </w:r>
            <w:r w:rsidR="008933F5" w:rsidRPr="00FD5E70">
              <w:rPr>
                <w:sz w:val="20"/>
                <w:szCs w:val="20"/>
              </w:rPr>
              <w:t xml:space="preserve">  Those pupils who did not pass, will continue to receive phonics interventions in the next academic year to ensure that they meet the threshold in year 2.</w:t>
            </w:r>
          </w:p>
          <w:p w14:paraId="678F689C" w14:textId="77777777" w:rsidR="00D43F21" w:rsidRPr="00FD5E70" w:rsidRDefault="00D43F21" w:rsidP="00533110">
            <w:pPr>
              <w:rPr>
                <w:sz w:val="20"/>
                <w:szCs w:val="20"/>
              </w:rPr>
            </w:pPr>
          </w:p>
          <w:p w14:paraId="7BF6AF5A" w14:textId="1E4EF2F6" w:rsidR="00533110" w:rsidRPr="00FF41C7" w:rsidRDefault="00043ADA" w:rsidP="00533110">
            <w:pPr>
              <w:rPr>
                <w:b/>
                <w:bCs/>
                <w:sz w:val="20"/>
                <w:szCs w:val="20"/>
                <w:u w:val="single"/>
              </w:rPr>
            </w:pPr>
            <w:r w:rsidRPr="00043ADA">
              <w:rPr>
                <w:noProof/>
                <w:sz w:val="20"/>
                <w:szCs w:val="20"/>
              </w:rPr>
              <w:drawing>
                <wp:anchor distT="0" distB="0" distL="114300" distR="114300" simplePos="0" relativeHeight="251679744" behindDoc="0" locked="0" layoutInCell="1" allowOverlap="1" wp14:anchorId="64BD845D" wp14:editId="1BF19D5B">
                  <wp:simplePos x="0" y="0"/>
                  <wp:positionH relativeFrom="column">
                    <wp:posOffset>600767</wp:posOffset>
                  </wp:positionH>
                  <wp:positionV relativeFrom="paragraph">
                    <wp:posOffset>270452</wp:posOffset>
                  </wp:positionV>
                  <wp:extent cx="4461164" cy="207799"/>
                  <wp:effectExtent l="0" t="0" r="0" b="1905"/>
                  <wp:wrapNone/>
                  <wp:docPr id="566264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26463" name=""/>
                          <pic:cNvPicPr/>
                        </pic:nvPicPr>
                        <pic:blipFill>
                          <a:blip r:embed="rId40">
                            <a:extLst>
                              <a:ext uri="{28A0092B-C50C-407E-A947-70E740481C1C}">
                                <a14:useLocalDpi xmlns:a14="http://schemas.microsoft.com/office/drawing/2010/main" val="0"/>
                              </a:ext>
                            </a:extLst>
                          </a:blip>
                          <a:stretch>
                            <a:fillRect/>
                          </a:stretch>
                        </pic:blipFill>
                        <pic:spPr>
                          <a:xfrm>
                            <a:off x="0" y="0"/>
                            <a:ext cx="4461164" cy="207799"/>
                          </a:xfrm>
                          <a:prstGeom prst="rect">
                            <a:avLst/>
                          </a:prstGeom>
                        </pic:spPr>
                      </pic:pic>
                    </a:graphicData>
                  </a:graphic>
                  <wp14:sizeRelH relativeFrom="page">
                    <wp14:pctWidth>0</wp14:pctWidth>
                  </wp14:sizeRelH>
                  <wp14:sizeRelV relativeFrom="page">
                    <wp14:pctHeight>0</wp14:pctHeight>
                  </wp14:sizeRelV>
                </wp:anchor>
              </w:drawing>
            </w:r>
            <w:r w:rsidR="00533110" w:rsidRPr="00FF41C7">
              <w:rPr>
                <w:b/>
                <w:bCs/>
                <w:sz w:val="20"/>
                <w:szCs w:val="20"/>
                <w:u w:val="single"/>
              </w:rPr>
              <w:t>Whole School Reading Data (ARE)</w:t>
            </w:r>
          </w:p>
          <w:p w14:paraId="1892BAB9" w14:textId="307547C4" w:rsidR="00533110" w:rsidRDefault="008641C4" w:rsidP="00533110">
            <w:pPr>
              <w:rPr>
                <w:sz w:val="20"/>
                <w:szCs w:val="20"/>
                <w:highlight w:val="yellow"/>
              </w:rPr>
            </w:pPr>
            <w:r w:rsidRPr="00F62ED2">
              <w:rPr>
                <w:noProof/>
                <w:sz w:val="20"/>
                <w:szCs w:val="20"/>
              </w:rPr>
              <w:drawing>
                <wp:anchor distT="0" distB="0" distL="114300" distR="114300" simplePos="0" relativeHeight="251678720" behindDoc="0" locked="0" layoutInCell="1" allowOverlap="1" wp14:anchorId="55EC1CB2" wp14:editId="7F943CB8">
                  <wp:simplePos x="0" y="0"/>
                  <wp:positionH relativeFrom="column">
                    <wp:posOffset>605441</wp:posOffset>
                  </wp:positionH>
                  <wp:positionV relativeFrom="paragraph">
                    <wp:posOffset>163830</wp:posOffset>
                  </wp:positionV>
                  <wp:extent cx="4488873" cy="229024"/>
                  <wp:effectExtent l="0" t="0" r="0" b="0"/>
                  <wp:wrapNone/>
                  <wp:docPr id="9091996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199691" name=""/>
                          <pic:cNvPicPr/>
                        </pic:nvPicPr>
                        <pic:blipFill>
                          <a:blip r:embed="rId41">
                            <a:extLst>
                              <a:ext uri="{28A0092B-C50C-407E-A947-70E740481C1C}">
                                <a14:useLocalDpi xmlns:a14="http://schemas.microsoft.com/office/drawing/2010/main" val="0"/>
                              </a:ext>
                            </a:extLst>
                          </a:blip>
                          <a:stretch>
                            <a:fillRect/>
                          </a:stretch>
                        </pic:blipFill>
                        <pic:spPr>
                          <a:xfrm>
                            <a:off x="0" y="0"/>
                            <a:ext cx="4488873" cy="229024"/>
                          </a:xfrm>
                          <a:prstGeom prst="rect">
                            <a:avLst/>
                          </a:prstGeom>
                        </pic:spPr>
                      </pic:pic>
                    </a:graphicData>
                  </a:graphic>
                  <wp14:sizeRelH relativeFrom="page">
                    <wp14:pctWidth>0</wp14:pctWidth>
                  </wp14:sizeRelH>
                  <wp14:sizeRelV relativeFrom="page">
                    <wp14:pctHeight>0</wp14:pctHeight>
                  </wp14:sizeRelV>
                </wp:anchor>
              </w:drawing>
            </w:r>
          </w:p>
          <w:p w14:paraId="398203D8" w14:textId="15A0AE70" w:rsidR="00AA2087" w:rsidRDefault="00AA2087" w:rsidP="00533110">
            <w:pPr>
              <w:rPr>
                <w:sz w:val="20"/>
                <w:szCs w:val="20"/>
                <w:highlight w:val="yellow"/>
              </w:rPr>
            </w:pPr>
            <w:r w:rsidRPr="00AA2087">
              <w:rPr>
                <w:noProof/>
                <w:sz w:val="20"/>
                <w:szCs w:val="20"/>
              </w:rPr>
              <w:drawing>
                <wp:anchor distT="0" distB="0" distL="114300" distR="114300" simplePos="0" relativeHeight="251677696" behindDoc="0" locked="0" layoutInCell="1" allowOverlap="1" wp14:anchorId="34C67F10" wp14:editId="7362290A">
                  <wp:simplePos x="0" y="0"/>
                  <wp:positionH relativeFrom="column">
                    <wp:posOffset>130406</wp:posOffset>
                  </wp:positionH>
                  <wp:positionV relativeFrom="paragraph">
                    <wp:posOffset>66039</wp:posOffset>
                  </wp:positionV>
                  <wp:extent cx="4956810" cy="170247"/>
                  <wp:effectExtent l="0" t="0" r="0" b="1270"/>
                  <wp:wrapNone/>
                  <wp:docPr id="18798028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802801" name=""/>
                          <pic:cNvPicPr/>
                        </pic:nvPicPr>
                        <pic:blipFill>
                          <a:blip r:embed="rId42">
                            <a:extLst>
                              <a:ext uri="{28A0092B-C50C-407E-A947-70E740481C1C}">
                                <a14:useLocalDpi xmlns:a14="http://schemas.microsoft.com/office/drawing/2010/main" val="0"/>
                              </a:ext>
                            </a:extLst>
                          </a:blip>
                          <a:stretch>
                            <a:fillRect/>
                          </a:stretch>
                        </pic:blipFill>
                        <pic:spPr>
                          <a:xfrm>
                            <a:off x="0" y="0"/>
                            <a:ext cx="5074366" cy="174285"/>
                          </a:xfrm>
                          <a:prstGeom prst="rect">
                            <a:avLst/>
                          </a:prstGeom>
                        </pic:spPr>
                      </pic:pic>
                    </a:graphicData>
                  </a:graphic>
                  <wp14:sizeRelH relativeFrom="page">
                    <wp14:pctWidth>0</wp14:pctWidth>
                  </wp14:sizeRelH>
                  <wp14:sizeRelV relativeFrom="page">
                    <wp14:pctHeight>0</wp14:pctHeight>
                  </wp14:sizeRelV>
                </wp:anchor>
              </w:drawing>
            </w:r>
          </w:p>
          <w:p w14:paraId="08095DB6" w14:textId="5D79C595" w:rsidR="00533110" w:rsidRPr="00236B6E" w:rsidRDefault="00533110" w:rsidP="00533110">
            <w:pPr>
              <w:rPr>
                <w:sz w:val="20"/>
                <w:szCs w:val="20"/>
                <w:highlight w:val="yellow"/>
              </w:rPr>
            </w:pPr>
            <w:r w:rsidRPr="008B4B09">
              <w:rPr>
                <w:sz w:val="20"/>
                <w:szCs w:val="20"/>
              </w:rPr>
              <w:t xml:space="preserve">Year 1 pupil premium pupils are </w:t>
            </w:r>
            <w:r w:rsidR="008B4B09" w:rsidRPr="008B4B09">
              <w:rPr>
                <w:sz w:val="20"/>
                <w:szCs w:val="20"/>
              </w:rPr>
              <w:t>4</w:t>
            </w:r>
            <w:r w:rsidRPr="008B4B09">
              <w:rPr>
                <w:sz w:val="20"/>
                <w:szCs w:val="20"/>
              </w:rPr>
              <w:t>% behind non pupil premium pupils meeting age related expectations</w:t>
            </w:r>
            <w:r w:rsidR="00CD7624">
              <w:rPr>
                <w:sz w:val="20"/>
                <w:szCs w:val="20"/>
              </w:rPr>
              <w:t>.</w:t>
            </w:r>
          </w:p>
          <w:p w14:paraId="0A90C4B6" w14:textId="401CA5DE" w:rsidR="00533110" w:rsidRPr="00766F01" w:rsidRDefault="00533110" w:rsidP="00533110">
            <w:pPr>
              <w:rPr>
                <w:sz w:val="20"/>
                <w:szCs w:val="20"/>
              </w:rPr>
            </w:pPr>
            <w:r w:rsidRPr="00766F01">
              <w:rPr>
                <w:sz w:val="20"/>
                <w:szCs w:val="20"/>
              </w:rPr>
              <w:t>Year 2 pupil premium pupils are outperforming non pupil premium pupils</w:t>
            </w:r>
            <w:r w:rsidR="00766F01" w:rsidRPr="00766F01">
              <w:rPr>
                <w:sz w:val="20"/>
                <w:szCs w:val="20"/>
              </w:rPr>
              <w:t xml:space="preserve"> by 5%.</w:t>
            </w:r>
          </w:p>
          <w:p w14:paraId="2DF0D48A" w14:textId="788E20EA" w:rsidR="00533110" w:rsidRPr="00236B6E" w:rsidRDefault="00533110" w:rsidP="00533110">
            <w:pPr>
              <w:rPr>
                <w:sz w:val="20"/>
                <w:szCs w:val="20"/>
                <w:highlight w:val="yellow"/>
              </w:rPr>
            </w:pPr>
            <w:r w:rsidRPr="002C7C5E">
              <w:rPr>
                <w:sz w:val="20"/>
                <w:szCs w:val="20"/>
              </w:rPr>
              <w:t xml:space="preserve">Year 3 pupil premium pupils are </w:t>
            </w:r>
            <w:r w:rsidR="00A2050E" w:rsidRPr="002C7C5E">
              <w:rPr>
                <w:sz w:val="20"/>
                <w:szCs w:val="20"/>
              </w:rPr>
              <w:t xml:space="preserve">outperforming non pupil premium pupils </w:t>
            </w:r>
            <w:r w:rsidR="005A1DA3" w:rsidRPr="002C7C5E">
              <w:rPr>
                <w:sz w:val="20"/>
                <w:szCs w:val="20"/>
              </w:rPr>
              <w:t>by 6%</w:t>
            </w:r>
            <w:r w:rsidRPr="002C7C5E">
              <w:rPr>
                <w:sz w:val="20"/>
                <w:szCs w:val="20"/>
              </w:rPr>
              <w:t xml:space="preserve">.  </w:t>
            </w:r>
          </w:p>
          <w:p w14:paraId="54164B11" w14:textId="11934A06" w:rsidR="00533110" w:rsidRPr="00236B6E" w:rsidRDefault="00533110" w:rsidP="00533110">
            <w:pPr>
              <w:rPr>
                <w:sz w:val="20"/>
                <w:szCs w:val="20"/>
                <w:highlight w:val="yellow"/>
              </w:rPr>
            </w:pPr>
            <w:r w:rsidRPr="00A67E06">
              <w:rPr>
                <w:sz w:val="20"/>
                <w:szCs w:val="20"/>
              </w:rPr>
              <w:t xml:space="preserve">Year 4 pupil premium pupils are </w:t>
            </w:r>
            <w:r w:rsidR="00FD22BE" w:rsidRPr="00A67E06">
              <w:rPr>
                <w:sz w:val="20"/>
                <w:szCs w:val="20"/>
              </w:rPr>
              <w:t>significantly</w:t>
            </w:r>
            <w:r w:rsidRPr="00A67E06">
              <w:rPr>
                <w:sz w:val="20"/>
                <w:szCs w:val="20"/>
              </w:rPr>
              <w:t xml:space="preserve"> below non-pupil premium pupils when attaining age related expectations</w:t>
            </w:r>
            <w:r w:rsidR="00CD7624">
              <w:rPr>
                <w:sz w:val="20"/>
                <w:szCs w:val="20"/>
              </w:rPr>
              <w:t>.</w:t>
            </w:r>
          </w:p>
          <w:p w14:paraId="509B0AC7" w14:textId="55FEAEF5" w:rsidR="00533110" w:rsidRPr="00290170" w:rsidRDefault="00533110" w:rsidP="00533110">
            <w:pPr>
              <w:rPr>
                <w:sz w:val="20"/>
                <w:szCs w:val="20"/>
              </w:rPr>
            </w:pPr>
            <w:r w:rsidRPr="00290170">
              <w:rPr>
                <w:sz w:val="20"/>
                <w:szCs w:val="20"/>
              </w:rPr>
              <w:t xml:space="preserve">Year 5 pupil premium pupils are </w:t>
            </w:r>
            <w:r w:rsidR="00A67E06" w:rsidRPr="00290170">
              <w:rPr>
                <w:sz w:val="20"/>
                <w:szCs w:val="20"/>
              </w:rPr>
              <w:t>behind the n</w:t>
            </w:r>
            <w:r w:rsidRPr="00290170">
              <w:rPr>
                <w:sz w:val="20"/>
                <w:szCs w:val="20"/>
              </w:rPr>
              <w:t>on-pupil premium pupil</w:t>
            </w:r>
            <w:r w:rsidR="00A67E06" w:rsidRPr="00290170">
              <w:rPr>
                <w:sz w:val="20"/>
                <w:szCs w:val="20"/>
              </w:rPr>
              <w:t xml:space="preserve">s </w:t>
            </w:r>
            <w:r w:rsidR="003C6018">
              <w:rPr>
                <w:sz w:val="20"/>
                <w:szCs w:val="20"/>
              </w:rPr>
              <w:t>w</w:t>
            </w:r>
            <w:r w:rsidR="00290170" w:rsidRPr="00290170">
              <w:rPr>
                <w:sz w:val="20"/>
                <w:szCs w:val="20"/>
              </w:rPr>
              <w:t>hen attaining age related expectations.</w:t>
            </w:r>
          </w:p>
          <w:p w14:paraId="2DDECC10" w14:textId="3A245E2E" w:rsidR="00533110" w:rsidRPr="00236B6E" w:rsidRDefault="00533110" w:rsidP="00533110">
            <w:pPr>
              <w:rPr>
                <w:sz w:val="20"/>
                <w:szCs w:val="20"/>
                <w:highlight w:val="yellow"/>
              </w:rPr>
            </w:pPr>
            <w:r w:rsidRPr="00C221E9">
              <w:rPr>
                <w:sz w:val="20"/>
                <w:szCs w:val="20"/>
              </w:rPr>
              <w:t>Year 6 pupil premium pupils</w:t>
            </w:r>
            <w:r w:rsidR="00411A88" w:rsidRPr="00C221E9">
              <w:rPr>
                <w:sz w:val="20"/>
                <w:szCs w:val="20"/>
              </w:rPr>
              <w:t xml:space="preserve"> have outperformed</w:t>
            </w:r>
            <w:r w:rsidR="004D7105" w:rsidRPr="00C221E9">
              <w:rPr>
                <w:sz w:val="20"/>
                <w:szCs w:val="20"/>
              </w:rPr>
              <w:t xml:space="preserve"> non pupil premium pupils attaining age related expectations</w:t>
            </w:r>
            <w:r w:rsidR="00C221E9" w:rsidRPr="00C221E9">
              <w:rPr>
                <w:sz w:val="20"/>
                <w:szCs w:val="20"/>
              </w:rPr>
              <w:t xml:space="preserve"> and are 4% above national average for pupil premium pupils. </w:t>
            </w:r>
            <w:r w:rsidRPr="00C221E9">
              <w:rPr>
                <w:sz w:val="20"/>
                <w:szCs w:val="20"/>
              </w:rPr>
              <w:t xml:space="preserve"> </w:t>
            </w:r>
          </w:p>
        </w:tc>
      </w:tr>
      <w:tr w:rsidR="007D01D6" w14:paraId="2D0BEEF3" w14:textId="77777777" w:rsidTr="00533110">
        <w:tc>
          <w:tcPr>
            <w:tcW w:w="2106" w:type="dxa"/>
          </w:tcPr>
          <w:p w14:paraId="753147F1" w14:textId="77777777" w:rsidR="00102E9F" w:rsidRDefault="00102E9F" w:rsidP="00102E9F">
            <w:pPr>
              <w:pStyle w:val="TableRow"/>
              <w:rPr>
                <w:sz w:val="22"/>
                <w:szCs w:val="22"/>
              </w:rPr>
            </w:pPr>
            <w:r>
              <w:rPr>
                <w:sz w:val="22"/>
                <w:szCs w:val="22"/>
              </w:rPr>
              <w:t>To continue to ensure minimal gap between pupil premium pupils and non-pupil premium pupils’ performance in reading, writing and maths whilst ensuring good or better progress from their starting points in core subject areas.</w:t>
            </w:r>
          </w:p>
          <w:p w14:paraId="7EA1CCF4" w14:textId="77777777" w:rsidR="00102E9F" w:rsidRDefault="00102E9F" w:rsidP="00102E9F">
            <w:pPr>
              <w:pStyle w:val="TableRow"/>
              <w:rPr>
                <w:sz w:val="22"/>
                <w:szCs w:val="22"/>
              </w:rPr>
            </w:pPr>
          </w:p>
          <w:p w14:paraId="204095C4" w14:textId="77777777" w:rsidR="00102E9F" w:rsidRDefault="00102E9F" w:rsidP="00102E9F">
            <w:pPr>
              <w:pStyle w:val="TableRow"/>
              <w:rPr>
                <w:sz w:val="22"/>
                <w:szCs w:val="22"/>
              </w:rPr>
            </w:pPr>
            <w:r>
              <w:rPr>
                <w:sz w:val="22"/>
                <w:szCs w:val="22"/>
              </w:rPr>
              <w:t>To improve attainment for pupil premium pupils reaching the expected standard so that it is in line with peers at the end of KS2.</w:t>
            </w:r>
          </w:p>
          <w:p w14:paraId="68BE540C" w14:textId="77777777" w:rsidR="00102E9F" w:rsidRDefault="00102E9F" w:rsidP="00102E9F">
            <w:pPr>
              <w:pStyle w:val="TableRow"/>
              <w:rPr>
                <w:sz w:val="22"/>
                <w:szCs w:val="22"/>
              </w:rPr>
            </w:pPr>
          </w:p>
          <w:p w14:paraId="33233247" w14:textId="41B91A43" w:rsidR="00102E9F" w:rsidRPr="00C157E6" w:rsidRDefault="00102E9F" w:rsidP="00102E9F">
            <w:pPr>
              <w:pStyle w:val="TableRow"/>
              <w:ind w:left="317"/>
              <w:rPr>
                <w:sz w:val="20"/>
                <w:szCs w:val="20"/>
              </w:rPr>
            </w:pPr>
          </w:p>
        </w:tc>
        <w:tc>
          <w:tcPr>
            <w:tcW w:w="3958" w:type="dxa"/>
          </w:tcPr>
          <w:p w14:paraId="58200BBE" w14:textId="5EFBF1E9" w:rsidR="00102E9F" w:rsidRPr="008B1CAE" w:rsidRDefault="00102E9F" w:rsidP="00102E9F">
            <w:pPr>
              <w:pStyle w:val="NoSpacing"/>
              <w:rPr>
                <w:sz w:val="20"/>
                <w:szCs w:val="20"/>
              </w:rPr>
            </w:pPr>
            <w:r w:rsidRPr="008B1CAE">
              <w:rPr>
                <w:sz w:val="20"/>
                <w:szCs w:val="20"/>
              </w:rPr>
              <w:t xml:space="preserve">Reading </w:t>
            </w:r>
          </w:p>
          <w:p w14:paraId="6CD1E4E6" w14:textId="084FF4DB" w:rsidR="00102E9F" w:rsidRPr="008B1CAE" w:rsidRDefault="00102E9F" w:rsidP="00102E9F">
            <w:pPr>
              <w:pStyle w:val="NoSpacing"/>
              <w:numPr>
                <w:ilvl w:val="0"/>
                <w:numId w:val="29"/>
              </w:numPr>
              <w:ind w:left="175" w:hanging="175"/>
              <w:rPr>
                <w:sz w:val="20"/>
                <w:szCs w:val="20"/>
              </w:rPr>
            </w:pPr>
            <w:r w:rsidRPr="008B1CAE">
              <w:rPr>
                <w:sz w:val="20"/>
                <w:szCs w:val="20"/>
              </w:rPr>
              <w:t>CPD via English Lead for oracy within our school</w:t>
            </w:r>
          </w:p>
          <w:p w14:paraId="2B9244CA" w14:textId="0C49354C" w:rsidR="00102E9F" w:rsidRPr="008B1CAE" w:rsidRDefault="00102E9F" w:rsidP="00102E9F">
            <w:pPr>
              <w:pStyle w:val="NoSpacing"/>
              <w:numPr>
                <w:ilvl w:val="0"/>
                <w:numId w:val="29"/>
              </w:numPr>
              <w:ind w:left="175" w:hanging="175"/>
              <w:rPr>
                <w:sz w:val="20"/>
                <w:szCs w:val="20"/>
              </w:rPr>
            </w:pPr>
            <w:r w:rsidRPr="008B1CAE">
              <w:rPr>
                <w:sz w:val="20"/>
                <w:szCs w:val="20"/>
              </w:rPr>
              <w:t>Use of Accelerated Reader to encourage reading for pleasure and active participation</w:t>
            </w:r>
          </w:p>
          <w:p w14:paraId="30EA4E5E" w14:textId="0E35DA0F" w:rsidR="00102E9F" w:rsidRPr="008B1CAE" w:rsidRDefault="00102E9F" w:rsidP="00102E9F">
            <w:pPr>
              <w:pStyle w:val="NoSpacing"/>
              <w:numPr>
                <w:ilvl w:val="0"/>
                <w:numId w:val="29"/>
              </w:numPr>
              <w:ind w:left="175" w:hanging="175"/>
              <w:rPr>
                <w:sz w:val="20"/>
                <w:szCs w:val="20"/>
              </w:rPr>
            </w:pPr>
            <w:r w:rsidRPr="008B1CAE">
              <w:rPr>
                <w:sz w:val="20"/>
                <w:szCs w:val="20"/>
              </w:rPr>
              <w:t>Parental workshop on phonics and reading</w:t>
            </w:r>
          </w:p>
          <w:p w14:paraId="3A98C92E" w14:textId="351A8DA0" w:rsidR="00102E9F" w:rsidRPr="008B1CAE" w:rsidRDefault="00102E9F" w:rsidP="00102E9F">
            <w:pPr>
              <w:pStyle w:val="NoSpacing"/>
              <w:numPr>
                <w:ilvl w:val="0"/>
                <w:numId w:val="29"/>
              </w:numPr>
              <w:ind w:left="175" w:hanging="175"/>
              <w:rPr>
                <w:sz w:val="20"/>
                <w:szCs w:val="20"/>
              </w:rPr>
            </w:pPr>
            <w:r w:rsidRPr="008B1CAE">
              <w:rPr>
                <w:sz w:val="20"/>
                <w:szCs w:val="20"/>
              </w:rPr>
              <w:t>Reading comprehensions through our Big Read sessions</w:t>
            </w:r>
          </w:p>
          <w:p w14:paraId="5320FDF6" w14:textId="00474F70" w:rsidR="00102E9F" w:rsidRPr="008B1CAE" w:rsidRDefault="00102E9F" w:rsidP="00102E9F">
            <w:pPr>
              <w:pStyle w:val="NoSpacing"/>
              <w:numPr>
                <w:ilvl w:val="0"/>
                <w:numId w:val="29"/>
              </w:numPr>
              <w:ind w:left="175" w:hanging="175"/>
              <w:rPr>
                <w:sz w:val="20"/>
                <w:szCs w:val="20"/>
              </w:rPr>
            </w:pPr>
            <w:r w:rsidRPr="008B1CAE">
              <w:rPr>
                <w:sz w:val="20"/>
                <w:szCs w:val="20"/>
              </w:rPr>
              <w:t>Reading interventions using Rapid Read, Literacy Box and IDL</w:t>
            </w:r>
          </w:p>
          <w:p w14:paraId="3664DCBD" w14:textId="5E38B788" w:rsidR="00102E9F" w:rsidRPr="008B1CAE" w:rsidRDefault="00102E9F" w:rsidP="00102E9F">
            <w:pPr>
              <w:pStyle w:val="NoSpacing"/>
              <w:numPr>
                <w:ilvl w:val="0"/>
                <w:numId w:val="29"/>
              </w:numPr>
              <w:ind w:left="175" w:hanging="175"/>
              <w:rPr>
                <w:sz w:val="20"/>
                <w:szCs w:val="20"/>
              </w:rPr>
            </w:pPr>
            <w:r w:rsidRPr="008B1CAE">
              <w:rPr>
                <w:sz w:val="20"/>
                <w:szCs w:val="20"/>
              </w:rPr>
              <w:t>Quality first teaching of phonics using ELS</w:t>
            </w:r>
          </w:p>
          <w:p w14:paraId="687B3234" w14:textId="1F72BA46" w:rsidR="00102E9F" w:rsidRPr="008B1CAE" w:rsidRDefault="00102E9F" w:rsidP="00102E9F">
            <w:pPr>
              <w:pStyle w:val="NoSpacing"/>
              <w:numPr>
                <w:ilvl w:val="0"/>
                <w:numId w:val="29"/>
              </w:numPr>
              <w:ind w:left="175" w:hanging="175"/>
              <w:rPr>
                <w:sz w:val="20"/>
                <w:szCs w:val="20"/>
              </w:rPr>
            </w:pPr>
            <w:r w:rsidRPr="008B1CAE">
              <w:rPr>
                <w:sz w:val="20"/>
                <w:szCs w:val="20"/>
              </w:rPr>
              <w:t>Phonic interventions using ELS phonics</w:t>
            </w:r>
          </w:p>
          <w:p w14:paraId="0D444C9E" w14:textId="269194D8" w:rsidR="00102E9F" w:rsidRPr="008B1CAE" w:rsidRDefault="00102E9F" w:rsidP="00102E9F">
            <w:pPr>
              <w:pStyle w:val="NoSpacing"/>
              <w:numPr>
                <w:ilvl w:val="0"/>
                <w:numId w:val="29"/>
              </w:numPr>
              <w:ind w:left="175" w:hanging="175"/>
              <w:rPr>
                <w:sz w:val="20"/>
                <w:szCs w:val="20"/>
              </w:rPr>
            </w:pPr>
            <w:r w:rsidRPr="008B1CAE">
              <w:rPr>
                <w:sz w:val="20"/>
                <w:szCs w:val="20"/>
              </w:rPr>
              <w:t xml:space="preserve">One to one </w:t>
            </w:r>
            <w:proofErr w:type="gramStart"/>
            <w:r w:rsidRPr="008B1CAE">
              <w:rPr>
                <w:sz w:val="20"/>
                <w:szCs w:val="20"/>
              </w:rPr>
              <w:t>readers</w:t>
            </w:r>
            <w:proofErr w:type="gramEnd"/>
          </w:p>
          <w:p w14:paraId="5A09BC7F" w14:textId="77777777" w:rsidR="008B1CAE" w:rsidRPr="00236B6E" w:rsidRDefault="008B1CAE" w:rsidP="008B1CAE">
            <w:pPr>
              <w:pStyle w:val="NoSpacing"/>
              <w:ind w:left="175"/>
              <w:rPr>
                <w:sz w:val="20"/>
                <w:szCs w:val="20"/>
                <w:highlight w:val="yellow"/>
              </w:rPr>
            </w:pPr>
          </w:p>
          <w:p w14:paraId="595E28F5" w14:textId="0FF6F172" w:rsidR="00102E9F" w:rsidRPr="008B1CAE" w:rsidRDefault="00102E9F" w:rsidP="00102E9F">
            <w:pPr>
              <w:pStyle w:val="NoSpacing"/>
              <w:rPr>
                <w:sz w:val="20"/>
                <w:szCs w:val="20"/>
              </w:rPr>
            </w:pPr>
            <w:r w:rsidRPr="008B1CAE">
              <w:rPr>
                <w:sz w:val="20"/>
                <w:szCs w:val="20"/>
              </w:rPr>
              <w:t>Writing</w:t>
            </w:r>
          </w:p>
          <w:p w14:paraId="39E56186" w14:textId="13E96179" w:rsidR="00102E9F" w:rsidRPr="008B1CAE" w:rsidRDefault="00102E9F" w:rsidP="00102E9F">
            <w:pPr>
              <w:pStyle w:val="NoSpacing"/>
              <w:numPr>
                <w:ilvl w:val="0"/>
                <w:numId w:val="29"/>
              </w:numPr>
              <w:ind w:left="175" w:hanging="175"/>
              <w:rPr>
                <w:sz w:val="20"/>
                <w:szCs w:val="20"/>
              </w:rPr>
            </w:pPr>
            <w:r w:rsidRPr="008B1CAE">
              <w:rPr>
                <w:sz w:val="20"/>
                <w:szCs w:val="20"/>
              </w:rPr>
              <w:t>CPD from English LEAD regarding transcription</w:t>
            </w:r>
          </w:p>
          <w:p w14:paraId="42A60B30" w14:textId="0E670092" w:rsidR="00102E9F" w:rsidRPr="008B1CAE" w:rsidRDefault="00102E9F" w:rsidP="00102E9F">
            <w:pPr>
              <w:pStyle w:val="NoSpacing"/>
              <w:numPr>
                <w:ilvl w:val="0"/>
                <w:numId w:val="29"/>
              </w:numPr>
              <w:ind w:left="175" w:hanging="175"/>
              <w:rPr>
                <w:sz w:val="20"/>
                <w:szCs w:val="20"/>
              </w:rPr>
            </w:pPr>
            <w:r w:rsidRPr="008B1CAE">
              <w:rPr>
                <w:sz w:val="20"/>
                <w:szCs w:val="20"/>
              </w:rPr>
              <w:t>Fine motor / mark making / letter formation CPD</w:t>
            </w:r>
          </w:p>
          <w:p w14:paraId="3507C8AD" w14:textId="3755BAA8" w:rsidR="00102E9F" w:rsidRPr="008B1CAE" w:rsidRDefault="00102E9F" w:rsidP="00102E9F">
            <w:pPr>
              <w:pStyle w:val="NoSpacing"/>
              <w:numPr>
                <w:ilvl w:val="0"/>
                <w:numId w:val="29"/>
              </w:numPr>
              <w:ind w:left="175" w:hanging="175"/>
              <w:rPr>
                <w:sz w:val="20"/>
                <w:szCs w:val="20"/>
              </w:rPr>
            </w:pPr>
            <w:r w:rsidRPr="008B1CAE">
              <w:rPr>
                <w:sz w:val="20"/>
                <w:szCs w:val="20"/>
              </w:rPr>
              <w:t>CPD via English Lead for oracy within our school</w:t>
            </w:r>
          </w:p>
          <w:p w14:paraId="6E1EF772" w14:textId="5C387742" w:rsidR="00102E9F" w:rsidRPr="008B1CAE" w:rsidRDefault="00102E9F" w:rsidP="00102E9F">
            <w:pPr>
              <w:pStyle w:val="NoSpacing"/>
              <w:numPr>
                <w:ilvl w:val="0"/>
                <w:numId w:val="29"/>
              </w:numPr>
              <w:ind w:left="175" w:hanging="175"/>
              <w:rPr>
                <w:sz w:val="20"/>
                <w:szCs w:val="20"/>
              </w:rPr>
            </w:pPr>
            <w:r w:rsidRPr="008B1CAE">
              <w:rPr>
                <w:sz w:val="20"/>
                <w:szCs w:val="20"/>
              </w:rPr>
              <w:t>Introduction development of clear pacing grids from writing in all year groups (ongoing project)</w:t>
            </w:r>
          </w:p>
          <w:p w14:paraId="1FDF0814" w14:textId="475ED6CE" w:rsidR="00102E9F" w:rsidRPr="008B1CAE" w:rsidRDefault="00102E9F" w:rsidP="00102E9F">
            <w:pPr>
              <w:pStyle w:val="NoSpacing"/>
              <w:numPr>
                <w:ilvl w:val="0"/>
                <w:numId w:val="29"/>
              </w:numPr>
              <w:ind w:left="175" w:hanging="175"/>
              <w:rPr>
                <w:sz w:val="20"/>
                <w:szCs w:val="20"/>
              </w:rPr>
            </w:pPr>
            <w:r w:rsidRPr="008B1CAE">
              <w:rPr>
                <w:sz w:val="20"/>
                <w:szCs w:val="20"/>
              </w:rPr>
              <w:t xml:space="preserve">Moderation collaborations </w:t>
            </w:r>
          </w:p>
          <w:p w14:paraId="403C55C5" w14:textId="0260BC78" w:rsidR="00102E9F" w:rsidRPr="00236B6E" w:rsidRDefault="00102E9F" w:rsidP="00102E9F">
            <w:pPr>
              <w:pStyle w:val="NoSpacing"/>
              <w:rPr>
                <w:sz w:val="20"/>
                <w:szCs w:val="20"/>
                <w:highlight w:val="yellow"/>
              </w:rPr>
            </w:pPr>
          </w:p>
          <w:p w14:paraId="5BC50C31" w14:textId="7EAC72D8" w:rsidR="00102E9F" w:rsidRPr="00CC0C62" w:rsidRDefault="00102E9F" w:rsidP="00102E9F">
            <w:pPr>
              <w:pStyle w:val="NoSpacing"/>
              <w:rPr>
                <w:sz w:val="20"/>
                <w:szCs w:val="20"/>
              </w:rPr>
            </w:pPr>
            <w:r w:rsidRPr="00CC0C62">
              <w:rPr>
                <w:sz w:val="20"/>
                <w:szCs w:val="20"/>
              </w:rPr>
              <w:t xml:space="preserve">Maths </w:t>
            </w:r>
          </w:p>
          <w:p w14:paraId="18809CD1" w14:textId="77777777" w:rsidR="00102E9F" w:rsidRPr="00CC0C62" w:rsidRDefault="00102E9F" w:rsidP="00102E9F">
            <w:pPr>
              <w:pStyle w:val="NoSpacing"/>
              <w:rPr>
                <w:sz w:val="20"/>
                <w:szCs w:val="20"/>
              </w:rPr>
            </w:pPr>
            <w:r w:rsidRPr="00CC0C62">
              <w:rPr>
                <w:sz w:val="20"/>
                <w:szCs w:val="20"/>
              </w:rPr>
              <w:t>Quality first teaching through CPD:</w:t>
            </w:r>
          </w:p>
          <w:p w14:paraId="5A6DEE7F" w14:textId="77777777" w:rsidR="00CC0C62" w:rsidRPr="00CC0C62" w:rsidRDefault="00102E9F" w:rsidP="00CC0C62">
            <w:pPr>
              <w:pStyle w:val="NoSpacing"/>
              <w:numPr>
                <w:ilvl w:val="0"/>
                <w:numId w:val="27"/>
              </w:numPr>
              <w:ind w:left="175" w:hanging="142"/>
              <w:rPr>
                <w:sz w:val="20"/>
                <w:szCs w:val="20"/>
              </w:rPr>
            </w:pPr>
            <w:r w:rsidRPr="00CC0C62">
              <w:rPr>
                <w:sz w:val="20"/>
                <w:szCs w:val="20"/>
              </w:rPr>
              <w:t>Use of Times Table Rock Stars to engage pupils in learning times tables</w:t>
            </w:r>
          </w:p>
          <w:p w14:paraId="46DFDDCB" w14:textId="55954466" w:rsidR="00102E9F" w:rsidRDefault="00CC0C62" w:rsidP="00CC0C62">
            <w:pPr>
              <w:pStyle w:val="NoSpacing"/>
              <w:numPr>
                <w:ilvl w:val="0"/>
                <w:numId w:val="27"/>
              </w:numPr>
              <w:ind w:left="175" w:hanging="142"/>
              <w:rPr>
                <w:sz w:val="20"/>
                <w:szCs w:val="20"/>
              </w:rPr>
            </w:pPr>
            <w:r w:rsidRPr="00CC0C62">
              <w:rPr>
                <w:sz w:val="20"/>
                <w:szCs w:val="20"/>
              </w:rPr>
              <w:t>Ensure consistent fidelity in mathematics lessons across the school by implementing the Power Maths scheme with integrity and alignment to its core principles.</w:t>
            </w:r>
          </w:p>
          <w:p w14:paraId="6C38A33B" w14:textId="796C9C3A" w:rsidR="00CC0C62" w:rsidRPr="00CC0C62" w:rsidRDefault="00CC0C62" w:rsidP="00CC0C62">
            <w:pPr>
              <w:pStyle w:val="NoSpacing"/>
              <w:numPr>
                <w:ilvl w:val="0"/>
                <w:numId w:val="27"/>
              </w:numPr>
              <w:ind w:left="175" w:hanging="142"/>
              <w:rPr>
                <w:sz w:val="20"/>
                <w:szCs w:val="20"/>
              </w:rPr>
            </w:pPr>
            <w:r>
              <w:rPr>
                <w:sz w:val="20"/>
                <w:szCs w:val="20"/>
              </w:rPr>
              <w:t xml:space="preserve">Maths interventions for those pupils who are below </w:t>
            </w:r>
            <w:proofErr w:type="gramStart"/>
            <w:r>
              <w:rPr>
                <w:sz w:val="20"/>
                <w:szCs w:val="20"/>
              </w:rPr>
              <w:t>age related</w:t>
            </w:r>
            <w:proofErr w:type="gramEnd"/>
            <w:r>
              <w:rPr>
                <w:sz w:val="20"/>
                <w:szCs w:val="20"/>
              </w:rPr>
              <w:t xml:space="preserve"> expectations</w:t>
            </w:r>
          </w:p>
          <w:p w14:paraId="3193429D" w14:textId="6649C98F" w:rsidR="00102E9F" w:rsidRPr="00CC0C62" w:rsidRDefault="00102E9F" w:rsidP="00102E9F">
            <w:pPr>
              <w:pStyle w:val="NoSpacing"/>
              <w:ind w:left="33"/>
              <w:rPr>
                <w:sz w:val="20"/>
                <w:szCs w:val="20"/>
              </w:rPr>
            </w:pPr>
            <w:r w:rsidRPr="00CC0C62">
              <w:rPr>
                <w:sz w:val="20"/>
                <w:szCs w:val="20"/>
              </w:rPr>
              <w:t>Half termly pupil progress meetings</w:t>
            </w:r>
          </w:p>
          <w:p w14:paraId="6E87ED53" w14:textId="563414D3" w:rsidR="00102E9F" w:rsidRPr="00CC0C62" w:rsidRDefault="00102E9F" w:rsidP="00102E9F">
            <w:pPr>
              <w:pStyle w:val="NoSpacing"/>
              <w:ind w:left="33"/>
              <w:rPr>
                <w:sz w:val="20"/>
                <w:szCs w:val="20"/>
              </w:rPr>
            </w:pPr>
            <w:r w:rsidRPr="00CC0C62">
              <w:rPr>
                <w:sz w:val="20"/>
                <w:szCs w:val="20"/>
              </w:rPr>
              <w:t>Half termly assessment points</w:t>
            </w:r>
          </w:p>
          <w:p w14:paraId="684CABD3" w14:textId="73FF0BA7" w:rsidR="00102E9F" w:rsidRPr="00236B6E" w:rsidRDefault="00102E9F" w:rsidP="00102E9F">
            <w:pPr>
              <w:pStyle w:val="NoSpacing"/>
              <w:ind w:left="33"/>
              <w:rPr>
                <w:sz w:val="20"/>
                <w:szCs w:val="20"/>
                <w:highlight w:val="yellow"/>
              </w:rPr>
            </w:pPr>
            <w:r w:rsidRPr="00CC0C62">
              <w:rPr>
                <w:sz w:val="20"/>
                <w:szCs w:val="20"/>
              </w:rPr>
              <w:t>Targeted after school boosters</w:t>
            </w:r>
          </w:p>
        </w:tc>
        <w:tc>
          <w:tcPr>
            <w:tcW w:w="8496" w:type="dxa"/>
          </w:tcPr>
          <w:p w14:paraId="5F0B2786" w14:textId="103E604D" w:rsidR="00102E9F" w:rsidRPr="003A7A0A" w:rsidRDefault="00102E9F" w:rsidP="00102E9F">
            <w:pPr>
              <w:pStyle w:val="NoSpacing"/>
              <w:rPr>
                <w:noProof/>
                <w:sz w:val="20"/>
                <w:szCs w:val="20"/>
              </w:rPr>
            </w:pPr>
            <w:r w:rsidRPr="003A7A0A">
              <w:rPr>
                <w:noProof/>
                <w:sz w:val="20"/>
                <w:szCs w:val="20"/>
              </w:rPr>
              <w:t>Data demonstrates that the gap between pupil premium and non pupil premium is generally cohort specific and is further impacted by the number SEND and EAL pupils who are also pupil premium.  Half termly pupil progress meetings identify those pupils who remain below age related expectations and clear plans are created for them to make accelerated progress.  Progress data is impacted by SEND pupils who are making small steps of progress witthin B-Squared.  These small steps of progress are monitored by our school SENDCo.</w:t>
            </w:r>
          </w:p>
          <w:p w14:paraId="683D283B" w14:textId="77777777" w:rsidR="00102E9F" w:rsidRPr="00236B6E" w:rsidRDefault="00102E9F" w:rsidP="00102E9F">
            <w:pPr>
              <w:pStyle w:val="NoSpacing"/>
              <w:rPr>
                <w:noProof/>
                <w:sz w:val="20"/>
                <w:szCs w:val="20"/>
                <w:highlight w:val="yellow"/>
              </w:rPr>
            </w:pPr>
          </w:p>
          <w:p w14:paraId="7DCA41FD" w14:textId="77777777" w:rsidR="00980642" w:rsidRDefault="00980642" w:rsidP="00102E9F">
            <w:pPr>
              <w:pStyle w:val="NoSpacing"/>
              <w:rPr>
                <w:b/>
                <w:bCs/>
                <w:noProof/>
                <w:sz w:val="20"/>
                <w:szCs w:val="20"/>
              </w:rPr>
            </w:pPr>
          </w:p>
          <w:p w14:paraId="207510F1" w14:textId="77777777" w:rsidR="00980642" w:rsidRDefault="00980642" w:rsidP="00102E9F">
            <w:pPr>
              <w:pStyle w:val="NoSpacing"/>
              <w:rPr>
                <w:b/>
                <w:bCs/>
                <w:noProof/>
                <w:sz w:val="20"/>
                <w:szCs w:val="20"/>
              </w:rPr>
            </w:pPr>
          </w:p>
          <w:p w14:paraId="1615DDDC" w14:textId="77777777" w:rsidR="00980642" w:rsidRDefault="00980642" w:rsidP="00102E9F">
            <w:pPr>
              <w:pStyle w:val="NoSpacing"/>
              <w:rPr>
                <w:b/>
                <w:bCs/>
                <w:noProof/>
                <w:sz w:val="20"/>
                <w:szCs w:val="20"/>
              </w:rPr>
            </w:pPr>
          </w:p>
          <w:p w14:paraId="23E0F6C4" w14:textId="77777777" w:rsidR="00980642" w:rsidRDefault="00980642" w:rsidP="00102E9F">
            <w:pPr>
              <w:pStyle w:val="NoSpacing"/>
              <w:rPr>
                <w:b/>
                <w:bCs/>
                <w:noProof/>
                <w:sz w:val="20"/>
                <w:szCs w:val="20"/>
              </w:rPr>
            </w:pPr>
          </w:p>
          <w:p w14:paraId="07EC8040" w14:textId="77777777" w:rsidR="00980642" w:rsidRDefault="00980642" w:rsidP="00102E9F">
            <w:pPr>
              <w:pStyle w:val="NoSpacing"/>
              <w:rPr>
                <w:b/>
                <w:bCs/>
                <w:noProof/>
                <w:sz w:val="20"/>
                <w:szCs w:val="20"/>
              </w:rPr>
            </w:pPr>
          </w:p>
          <w:p w14:paraId="15F7E187" w14:textId="77777777" w:rsidR="00980642" w:rsidRDefault="00980642" w:rsidP="00102E9F">
            <w:pPr>
              <w:pStyle w:val="NoSpacing"/>
              <w:rPr>
                <w:b/>
                <w:bCs/>
                <w:noProof/>
                <w:sz w:val="20"/>
                <w:szCs w:val="20"/>
              </w:rPr>
            </w:pPr>
          </w:p>
          <w:p w14:paraId="7AB76D02" w14:textId="77777777" w:rsidR="00980642" w:rsidRDefault="00980642" w:rsidP="00102E9F">
            <w:pPr>
              <w:pStyle w:val="NoSpacing"/>
              <w:rPr>
                <w:b/>
                <w:bCs/>
                <w:noProof/>
                <w:sz w:val="20"/>
                <w:szCs w:val="20"/>
              </w:rPr>
            </w:pPr>
          </w:p>
          <w:p w14:paraId="011E0963" w14:textId="77777777" w:rsidR="00980642" w:rsidRDefault="00980642" w:rsidP="00102E9F">
            <w:pPr>
              <w:pStyle w:val="NoSpacing"/>
              <w:rPr>
                <w:b/>
                <w:bCs/>
                <w:noProof/>
                <w:sz w:val="20"/>
                <w:szCs w:val="20"/>
              </w:rPr>
            </w:pPr>
          </w:p>
          <w:p w14:paraId="4DF3BF21" w14:textId="77777777" w:rsidR="00980642" w:rsidRDefault="00980642" w:rsidP="00102E9F">
            <w:pPr>
              <w:pStyle w:val="NoSpacing"/>
              <w:rPr>
                <w:b/>
                <w:bCs/>
                <w:noProof/>
                <w:sz w:val="20"/>
                <w:szCs w:val="20"/>
              </w:rPr>
            </w:pPr>
          </w:p>
          <w:p w14:paraId="0500F39C" w14:textId="785AC991" w:rsidR="00102E9F" w:rsidRPr="00E52C58" w:rsidRDefault="00102E9F" w:rsidP="00102E9F">
            <w:pPr>
              <w:pStyle w:val="NoSpacing"/>
              <w:rPr>
                <w:b/>
                <w:bCs/>
                <w:noProof/>
                <w:sz w:val="20"/>
                <w:szCs w:val="20"/>
                <w:highlight w:val="yellow"/>
              </w:rPr>
            </w:pPr>
            <w:r w:rsidRPr="00E52C58">
              <w:rPr>
                <w:b/>
                <w:bCs/>
                <w:noProof/>
                <w:sz w:val="20"/>
                <w:szCs w:val="20"/>
              </w:rPr>
              <w:t>Attainment</w:t>
            </w:r>
          </w:p>
          <w:p w14:paraId="51676D6A" w14:textId="767E5FD6" w:rsidR="00102E9F" w:rsidRPr="00236B6E" w:rsidRDefault="00102E9F" w:rsidP="00102E9F">
            <w:pPr>
              <w:pStyle w:val="NoSpacing"/>
              <w:rPr>
                <w:noProof/>
                <w:sz w:val="20"/>
                <w:szCs w:val="20"/>
                <w:highlight w:val="yellow"/>
              </w:rPr>
            </w:pPr>
            <w:r w:rsidRPr="00236B6E">
              <w:rPr>
                <w:noProof/>
                <w:highlight w:val="yellow"/>
              </w:rPr>
              <w:drawing>
                <wp:anchor distT="0" distB="0" distL="114300" distR="114300" simplePos="0" relativeHeight="251675648" behindDoc="0" locked="0" layoutInCell="1" allowOverlap="1" wp14:anchorId="4D315566" wp14:editId="35C3CB54">
                  <wp:simplePos x="0" y="0"/>
                  <wp:positionH relativeFrom="column">
                    <wp:posOffset>821581</wp:posOffset>
                  </wp:positionH>
                  <wp:positionV relativeFrom="paragraph">
                    <wp:posOffset>73660</wp:posOffset>
                  </wp:positionV>
                  <wp:extent cx="3646714" cy="209648"/>
                  <wp:effectExtent l="0" t="0" r="0" b="0"/>
                  <wp:wrapNone/>
                  <wp:docPr id="2027111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111578" name=""/>
                          <pic:cNvPicPr/>
                        </pic:nvPicPr>
                        <pic:blipFill>
                          <a:blip r:embed="rId43">
                            <a:extLst>
                              <a:ext uri="{28A0092B-C50C-407E-A947-70E740481C1C}">
                                <a14:useLocalDpi xmlns:a14="http://schemas.microsoft.com/office/drawing/2010/main" val="0"/>
                              </a:ext>
                            </a:extLst>
                          </a:blip>
                          <a:stretch>
                            <a:fillRect/>
                          </a:stretch>
                        </pic:blipFill>
                        <pic:spPr>
                          <a:xfrm>
                            <a:off x="0" y="0"/>
                            <a:ext cx="3646714" cy="209648"/>
                          </a:xfrm>
                          <a:prstGeom prst="rect">
                            <a:avLst/>
                          </a:prstGeom>
                        </pic:spPr>
                      </pic:pic>
                    </a:graphicData>
                  </a:graphic>
                  <wp14:sizeRelH relativeFrom="page">
                    <wp14:pctWidth>0</wp14:pctWidth>
                  </wp14:sizeRelH>
                  <wp14:sizeRelV relativeFrom="page">
                    <wp14:pctHeight>0</wp14:pctHeight>
                  </wp14:sizeRelV>
                </wp:anchor>
              </w:drawing>
            </w:r>
          </w:p>
          <w:p w14:paraId="51CC813E" w14:textId="494FD4AA" w:rsidR="00102E9F" w:rsidRPr="00236B6E" w:rsidRDefault="00B71D7F" w:rsidP="00102E9F">
            <w:pPr>
              <w:pStyle w:val="NoSpacing"/>
              <w:rPr>
                <w:noProof/>
                <w:sz w:val="20"/>
                <w:szCs w:val="20"/>
                <w:highlight w:val="yellow"/>
              </w:rPr>
            </w:pPr>
            <w:r w:rsidRPr="00B71D7F">
              <w:rPr>
                <w:noProof/>
                <w:sz w:val="20"/>
                <w:szCs w:val="20"/>
              </w:rPr>
              <w:drawing>
                <wp:anchor distT="0" distB="0" distL="114300" distR="114300" simplePos="0" relativeHeight="251680768" behindDoc="0" locked="0" layoutInCell="1" allowOverlap="1" wp14:anchorId="56607BAE" wp14:editId="6DD025A3">
                  <wp:simplePos x="0" y="0"/>
                  <wp:positionH relativeFrom="column">
                    <wp:posOffset>220460</wp:posOffset>
                  </wp:positionH>
                  <wp:positionV relativeFrom="paragraph">
                    <wp:posOffset>129656</wp:posOffset>
                  </wp:positionV>
                  <wp:extent cx="4246419" cy="1880176"/>
                  <wp:effectExtent l="0" t="0" r="1905" b="6350"/>
                  <wp:wrapNone/>
                  <wp:docPr id="614834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834197" name=""/>
                          <pic:cNvPicPr/>
                        </pic:nvPicPr>
                        <pic:blipFill>
                          <a:blip r:embed="rId44">
                            <a:extLst>
                              <a:ext uri="{28A0092B-C50C-407E-A947-70E740481C1C}">
                                <a14:useLocalDpi xmlns:a14="http://schemas.microsoft.com/office/drawing/2010/main" val="0"/>
                              </a:ext>
                            </a:extLst>
                          </a:blip>
                          <a:stretch>
                            <a:fillRect/>
                          </a:stretch>
                        </pic:blipFill>
                        <pic:spPr>
                          <a:xfrm>
                            <a:off x="0" y="0"/>
                            <a:ext cx="4265570" cy="1888656"/>
                          </a:xfrm>
                          <a:prstGeom prst="rect">
                            <a:avLst/>
                          </a:prstGeom>
                        </pic:spPr>
                      </pic:pic>
                    </a:graphicData>
                  </a:graphic>
                  <wp14:sizeRelH relativeFrom="page">
                    <wp14:pctWidth>0</wp14:pctWidth>
                  </wp14:sizeRelH>
                  <wp14:sizeRelV relativeFrom="page">
                    <wp14:pctHeight>0</wp14:pctHeight>
                  </wp14:sizeRelV>
                </wp:anchor>
              </w:drawing>
            </w:r>
          </w:p>
          <w:p w14:paraId="326B3A81" w14:textId="3B6914CD" w:rsidR="00102E9F" w:rsidRPr="00236B6E" w:rsidRDefault="00102E9F" w:rsidP="00102E9F">
            <w:pPr>
              <w:pStyle w:val="NoSpacing"/>
              <w:rPr>
                <w:noProof/>
                <w:sz w:val="20"/>
                <w:szCs w:val="20"/>
                <w:highlight w:val="yellow"/>
              </w:rPr>
            </w:pPr>
          </w:p>
          <w:p w14:paraId="50270B23" w14:textId="4F75C10C" w:rsidR="00102E9F" w:rsidRPr="00236B6E" w:rsidRDefault="00102E9F" w:rsidP="00102E9F">
            <w:pPr>
              <w:pStyle w:val="NoSpacing"/>
              <w:rPr>
                <w:noProof/>
                <w:sz w:val="20"/>
                <w:szCs w:val="20"/>
                <w:highlight w:val="yellow"/>
              </w:rPr>
            </w:pPr>
          </w:p>
          <w:p w14:paraId="19169CB9" w14:textId="39AFE122" w:rsidR="00102E9F" w:rsidRPr="00236B6E" w:rsidRDefault="00102E9F" w:rsidP="00102E9F">
            <w:pPr>
              <w:pStyle w:val="NoSpacing"/>
              <w:rPr>
                <w:noProof/>
                <w:sz w:val="20"/>
                <w:szCs w:val="20"/>
                <w:highlight w:val="yellow"/>
              </w:rPr>
            </w:pPr>
          </w:p>
          <w:p w14:paraId="434EA647" w14:textId="77777777" w:rsidR="00102E9F" w:rsidRPr="00236B6E" w:rsidRDefault="00102E9F" w:rsidP="00102E9F">
            <w:pPr>
              <w:pStyle w:val="NoSpacing"/>
              <w:rPr>
                <w:noProof/>
                <w:sz w:val="20"/>
                <w:szCs w:val="20"/>
                <w:highlight w:val="yellow"/>
              </w:rPr>
            </w:pPr>
          </w:p>
          <w:p w14:paraId="321C9C70" w14:textId="77777777" w:rsidR="00102E9F" w:rsidRPr="00236B6E" w:rsidRDefault="00102E9F" w:rsidP="00102E9F">
            <w:pPr>
              <w:pStyle w:val="NoSpacing"/>
              <w:rPr>
                <w:noProof/>
                <w:sz w:val="20"/>
                <w:szCs w:val="20"/>
                <w:highlight w:val="yellow"/>
              </w:rPr>
            </w:pPr>
          </w:p>
          <w:p w14:paraId="36FADE0F" w14:textId="77777777" w:rsidR="00102E9F" w:rsidRPr="00236B6E" w:rsidRDefault="00102E9F" w:rsidP="00102E9F">
            <w:pPr>
              <w:pStyle w:val="NoSpacing"/>
              <w:rPr>
                <w:noProof/>
                <w:sz w:val="20"/>
                <w:szCs w:val="20"/>
                <w:highlight w:val="yellow"/>
              </w:rPr>
            </w:pPr>
          </w:p>
          <w:p w14:paraId="30DA838A" w14:textId="77777777" w:rsidR="00102E9F" w:rsidRPr="00236B6E" w:rsidRDefault="00102E9F" w:rsidP="00102E9F">
            <w:pPr>
              <w:pStyle w:val="NoSpacing"/>
              <w:rPr>
                <w:noProof/>
                <w:sz w:val="20"/>
                <w:szCs w:val="20"/>
                <w:highlight w:val="yellow"/>
              </w:rPr>
            </w:pPr>
          </w:p>
          <w:p w14:paraId="57D5349E" w14:textId="77777777" w:rsidR="00102E9F" w:rsidRPr="00236B6E" w:rsidRDefault="00102E9F" w:rsidP="00102E9F">
            <w:pPr>
              <w:pStyle w:val="NoSpacing"/>
              <w:rPr>
                <w:noProof/>
                <w:sz w:val="20"/>
                <w:szCs w:val="20"/>
                <w:highlight w:val="yellow"/>
              </w:rPr>
            </w:pPr>
          </w:p>
          <w:p w14:paraId="0CD898B7" w14:textId="77777777" w:rsidR="00102E9F" w:rsidRPr="00236B6E" w:rsidRDefault="00102E9F" w:rsidP="00102E9F">
            <w:pPr>
              <w:pStyle w:val="NoSpacing"/>
              <w:rPr>
                <w:noProof/>
                <w:sz w:val="20"/>
                <w:szCs w:val="20"/>
                <w:highlight w:val="yellow"/>
              </w:rPr>
            </w:pPr>
          </w:p>
          <w:p w14:paraId="54DC95B5" w14:textId="77777777" w:rsidR="00102E9F" w:rsidRPr="00236B6E" w:rsidRDefault="00102E9F" w:rsidP="00102E9F">
            <w:pPr>
              <w:pStyle w:val="NoSpacing"/>
              <w:rPr>
                <w:noProof/>
                <w:sz w:val="20"/>
                <w:szCs w:val="20"/>
                <w:highlight w:val="yellow"/>
              </w:rPr>
            </w:pPr>
          </w:p>
          <w:p w14:paraId="100FF107" w14:textId="77777777" w:rsidR="00102E9F" w:rsidRPr="00236B6E" w:rsidRDefault="00102E9F" w:rsidP="00102E9F">
            <w:pPr>
              <w:pStyle w:val="NoSpacing"/>
              <w:rPr>
                <w:noProof/>
                <w:sz w:val="20"/>
                <w:szCs w:val="20"/>
                <w:highlight w:val="yellow"/>
              </w:rPr>
            </w:pPr>
          </w:p>
          <w:p w14:paraId="2CE32920" w14:textId="77777777" w:rsidR="00102E9F" w:rsidRPr="00236B6E" w:rsidRDefault="00102E9F" w:rsidP="00102E9F">
            <w:pPr>
              <w:pStyle w:val="NoSpacing"/>
              <w:rPr>
                <w:noProof/>
                <w:sz w:val="20"/>
                <w:szCs w:val="20"/>
                <w:highlight w:val="yellow"/>
              </w:rPr>
            </w:pPr>
          </w:p>
          <w:p w14:paraId="15787904" w14:textId="77777777" w:rsidR="00102E9F" w:rsidRPr="00236B6E" w:rsidRDefault="00102E9F" w:rsidP="00102E9F">
            <w:pPr>
              <w:pStyle w:val="NoSpacing"/>
              <w:rPr>
                <w:noProof/>
                <w:sz w:val="20"/>
                <w:szCs w:val="20"/>
                <w:highlight w:val="yellow"/>
              </w:rPr>
            </w:pPr>
          </w:p>
          <w:p w14:paraId="7BEE5C7E" w14:textId="77777777" w:rsidR="00102E9F" w:rsidRPr="00236B6E" w:rsidRDefault="00102E9F" w:rsidP="00102E9F">
            <w:pPr>
              <w:pStyle w:val="NoSpacing"/>
              <w:rPr>
                <w:noProof/>
                <w:sz w:val="20"/>
                <w:szCs w:val="20"/>
                <w:highlight w:val="yellow"/>
              </w:rPr>
            </w:pPr>
          </w:p>
          <w:p w14:paraId="1BFD500E" w14:textId="77777777" w:rsidR="00102E9F" w:rsidRPr="00236B6E" w:rsidRDefault="00102E9F" w:rsidP="00102E9F">
            <w:pPr>
              <w:pStyle w:val="NoSpacing"/>
              <w:rPr>
                <w:noProof/>
                <w:sz w:val="20"/>
                <w:szCs w:val="20"/>
                <w:highlight w:val="yellow"/>
              </w:rPr>
            </w:pPr>
          </w:p>
          <w:p w14:paraId="50E67BAB" w14:textId="77777777" w:rsidR="00102E9F" w:rsidRPr="00236B6E" w:rsidRDefault="00102E9F" w:rsidP="00102E9F">
            <w:pPr>
              <w:pStyle w:val="NoSpacing"/>
              <w:rPr>
                <w:noProof/>
                <w:sz w:val="20"/>
                <w:szCs w:val="20"/>
                <w:highlight w:val="yellow"/>
              </w:rPr>
            </w:pPr>
          </w:p>
          <w:p w14:paraId="57751325" w14:textId="740A0FF4" w:rsidR="00102E9F" w:rsidRPr="00E52C58" w:rsidRDefault="00102E9F" w:rsidP="00102E9F">
            <w:pPr>
              <w:pStyle w:val="NoSpacing"/>
              <w:rPr>
                <w:b/>
                <w:bCs/>
                <w:noProof/>
                <w:sz w:val="20"/>
                <w:szCs w:val="20"/>
              </w:rPr>
            </w:pPr>
            <w:r w:rsidRPr="00E52C58">
              <w:rPr>
                <w:b/>
                <w:bCs/>
                <w:noProof/>
                <w:sz w:val="20"/>
                <w:szCs w:val="20"/>
              </w:rPr>
              <w:t>Progress</w:t>
            </w:r>
            <w:r w:rsidR="00234749" w:rsidRPr="00E52C58">
              <w:rPr>
                <w:b/>
                <w:bCs/>
                <w:noProof/>
                <w:sz w:val="20"/>
                <w:szCs w:val="20"/>
              </w:rPr>
              <w:t xml:space="preserve"> for Pupil Premium Pupils </w:t>
            </w:r>
          </w:p>
          <w:p w14:paraId="72BFD770" w14:textId="46E121BD" w:rsidR="00F570EF" w:rsidRDefault="00F570EF" w:rsidP="00102E9F">
            <w:pPr>
              <w:pStyle w:val="NoSpacing"/>
              <w:rPr>
                <w:noProof/>
                <w:sz w:val="20"/>
                <w:szCs w:val="20"/>
                <w:highlight w:val="yellow"/>
              </w:rPr>
            </w:pPr>
          </w:p>
          <w:tbl>
            <w:tblPr>
              <w:tblStyle w:val="TableGrid"/>
              <w:tblW w:w="0" w:type="auto"/>
              <w:tblLook w:val="04A0" w:firstRow="1" w:lastRow="0" w:firstColumn="1" w:lastColumn="0" w:noHBand="0" w:noVBand="1"/>
            </w:tblPr>
            <w:tblGrid>
              <w:gridCol w:w="814"/>
              <w:gridCol w:w="635"/>
              <w:gridCol w:w="612"/>
              <w:gridCol w:w="634"/>
              <w:gridCol w:w="612"/>
              <w:gridCol w:w="612"/>
              <w:gridCol w:w="612"/>
              <w:gridCol w:w="634"/>
              <w:gridCol w:w="612"/>
              <w:gridCol w:w="634"/>
              <w:gridCol w:w="612"/>
              <w:gridCol w:w="634"/>
              <w:gridCol w:w="613"/>
            </w:tblGrid>
            <w:tr w:rsidR="00D34532" w:rsidRPr="00D34532" w14:paraId="31F08A96" w14:textId="77777777" w:rsidTr="00D34532">
              <w:tc>
                <w:tcPr>
                  <w:tcW w:w="636" w:type="dxa"/>
                  <w:shd w:val="clear" w:color="auto" w:fill="A6A6A6" w:themeFill="background1" w:themeFillShade="A6"/>
                </w:tcPr>
                <w:p w14:paraId="38531735" w14:textId="77777777" w:rsidR="00F570EF" w:rsidRPr="00D34532" w:rsidRDefault="00F570EF" w:rsidP="00102E9F">
                  <w:pPr>
                    <w:pStyle w:val="NoSpacing"/>
                    <w:rPr>
                      <w:noProof/>
                      <w:sz w:val="16"/>
                      <w:szCs w:val="16"/>
                    </w:rPr>
                  </w:pPr>
                </w:p>
              </w:tc>
              <w:tc>
                <w:tcPr>
                  <w:tcW w:w="1272" w:type="dxa"/>
                  <w:gridSpan w:val="2"/>
                  <w:shd w:val="clear" w:color="auto" w:fill="A6A6A6" w:themeFill="background1" w:themeFillShade="A6"/>
                </w:tcPr>
                <w:p w14:paraId="3F71757D" w14:textId="4FEE072F" w:rsidR="00F570EF" w:rsidRPr="00D34532" w:rsidRDefault="00F570EF" w:rsidP="00F570EF">
                  <w:pPr>
                    <w:pStyle w:val="NoSpacing"/>
                    <w:jc w:val="center"/>
                    <w:rPr>
                      <w:noProof/>
                      <w:sz w:val="16"/>
                      <w:szCs w:val="16"/>
                    </w:rPr>
                  </w:pPr>
                  <w:r w:rsidRPr="00D34532">
                    <w:rPr>
                      <w:noProof/>
                      <w:sz w:val="16"/>
                      <w:szCs w:val="16"/>
                    </w:rPr>
                    <w:t>Year 1</w:t>
                  </w:r>
                </w:p>
              </w:tc>
              <w:tc>
                <w:tcPr>
                  <w:tcW w:w="1272" w:type="dxa"/>
                  <w:gridSpan w:val="2"/>
                  <w:shd w:val="clear" w:color="auto" w:fill="A6A6A6" w:themeFill="background1" w:themeFillShade="A6"/>
                </w:tcPr>
                <w:p w14:paraId="050C3C73" w14:textId="5C97C71E" w:rsidR="00F570EF" w:rsidRPr="00D34532" w:rsidRDefault="00F570EF" w:rsidP="00F570EF">
                  <w:pPr>
                    <w:pStyle w:val="NoSpacing"/>
                    <w:jc w:val="center"/>
                    <w:rPr>
                      <w:noProof/>
                      <w:sz w:val="16"/>
                      <w:szCs w:val="16"/>
                    </w:rPr>
                  </w:pPr>
                  <w:r w:rsidRPr="00D34532">
                    <w:rPr>
                      <w:noProof/>
                      <w:sz w:val="16"/>
                      <w:szCs w:val="16"/>
                    </w:rPr>
                    <w:t>Year 2</w:t>
                  </w:r>
                </w:p>
              </w:tc>
              <w:tc>
                <w:tcPr>
                  <w:tcW w:w="1272" w:type="dxa"/>
                  <w:gridSpan w:val="2"/>
                  <w:shd w:val="clear" w:color="auto" w:fill="A6A6A6" w:themeFill="background1" w:themeFillShade="A6"/>
                </w:tcPr>
                <w:p w14:paraId="2B00EB26" w14:textId="6632B15F" w:rsidR="00F570EF" w:rsidRPr="00D34532" w:rsidRDefault="00F570EF" w:rsidP="00F570EF">
                  <w:pPr>
                    <w:pStyle w:val="NoSpacing"/>
                    <w:jc w:val="center"/>
                    <w:rPr>
                      <w:noProof/>
                      <w:sz w:val="16"/>
                      <w:szCs w:val="16"/>
                    </w:rPr>
                  </w:pPr>
                  <w:r w:rsidRPr="00D34532">
                    <w:rPr>
                      <w:noProof/>
                      <w:sz w:val="16"/>
                      <w:szCs w:val="16"/>
                    </w:rPr>
                    <w:t>Year 3</w:t>
                  </w:r>
                </w:p>
              </w:tc>
              <w:tc>
                <w:tcPr>
                  <w:tcW w:w="1272" w:type="dxa"/>
                  <w:gridSpan w:val="2"/>
                  <w:shd w:val="clear" w:color="auto" w:fill="A6A6A6" w:themeFill="background1" w:themeFillShade="A6"/>
                </w:tcPr>
                <w:p w14:paraId="728009E0" w14:textId="103BD4ED" w:rsidR="00F570EF" w:rsidRPr="00D34532" w:rsidRDefault="00F570EF" w:rsidP="00F570EF">
                  <w:pPr>
                    <w:pStyle w:val="NoSpacing"/>
                    <w:jc w:val="center"/>
                    <w:rPr>
                      <w:noProof/>
                      <w:sz w:val="16"/>
                      <w:szCs w:val="16"/>
                    </w:rPr>
                  </w:pPr>
                  <w:r w:rsidRPr="00D34532">
                    <w:rPr>
                      <w:noProof/>
                      <w:sz w:val="16"/>
                      <w:szCs w:val="16"/>
                    </w:rPr>
                    <w:t>Year 4</w:t>
                  </w:r>
                </w:p>
              </w:tc>
              <w:tc>
                <w:tcPr>
                  <w:tcW w:w="1272" w:type="dxa"/>
                  <w:gridSpan w:val="2"/>
                  <w:shd w:val="clear" w:color="auto" w:fill="A6A6A6" w:themeFill="background1" w:themeFillShade="A6"/>
                </w:tcPr>
                <w:p w14:paraId="0904BA6A" w14:textId="76259627" w:rsidR="00F570EF" w:rsidRPr="00D34532" w:rsidRDefault="00F570EF" w:rsidP="00F570EF">
                  <w:pPr>
                    <w:pStyle w:val="NoSpacing"/>
                    <w:jc w:val="center"/>
                    <w:rPr>
                      <w:noProof/>
                      <w:sz w:val="16"/>
                      <w:szCs w:val="16"/>
                    </w:rPr>
                  </w:pPr>
                  <w:r w:rsidRPr="00D34532">
                    <w:rPr>
                      <w:noProof/>
                      <w:sz w:val="16"/>
                      <w:szCs w:val="16"/>
                    </w:rPr>
                    <w:t>Year 5</w:t>
                  </w:r>
                </w:p>
              </w:tc>
              <w:tc>
                <w:tcPr>
                  <w:tcW w:w="1274" w:type="dxa"/>
                  <w:gridSpan w:val="2"/>
                  <w:shd w:val="clear" w:color="auto" w:fill="A6A6A6" w:themeFill="background1" w:themeFillShade="A6"/>
                </w:tcPr>
                <w:p w14:paraId="0861FB40" w14:textId="0EB576D1" w:rsidR="00F570EF" w:rsidRPr="00D34532" w:rsidRDefault="00F570EF" w:rsidP="00F570EF">
                  <w:pPr>
                    <w:pStyle w:val="NoSpacing"/>
                    <w:jc w:val="center"/>
                    <w:rPr>
                      <w:noProof/>
                      <w:sz w:val="16"/>
                      <w:szCs w:val="16"/>
                    </w:rPr>
                  </w:pPr>
                  <w:r w:rsidRPr="00D34532">
                    <w:rPr>
                      <w:noProof/>
                      <w:sz w:val="16"/>
                      <w:szCs w:val="16"/>
                    </w:rPr>
                    <w:t>Year 6</w:t>
                  </w:r>
                </w:p>
              </w:tc>
            </w:tr>
            <w:tr w:rsidR="00D34532" w:rsidRPr="00D34532" w14:paraId="29CABE92" w14:textId="77777777" w:rsidTr="00D34532">
              <w:tc>
                <w:tcPr>
                  <w:tcW w:w="636" w:type="dxa"/>
                  <w:shd w:val="clear" w:color="auto" w:fill="A6A6A6" w:themeFill="background1" w:themeFillShade="A6"/>
                </w:tcPr>
                <w:p w14:paraId="74016924" w14:textId="77777777" w:rsidR="00E74A64" w:rsidRPr="00D34532" w:rsidRDefault="00E74A64" w:rsidP="00E74A64">
                  <w:pPr>
                    <w:pStyle w:val="NoSpacing"/>
                    <w:rPr>
                      <w:noProof/>
                      <w:sz w:val="16"/>
                      <w:szCs w:val="16"/>
                    </w:rPr>
                  </w:pPr>
                </w:p>
              </w:tc>
              <w:tc>
                <w:tcPr>
                  <w:tcW w:w="636" w:type="dxa"/>
                  <w:shd w:val="clear" w:color="auto" w:fill="D9D9D9" w:themeFill="background1" w:themeFillShade="D9"/>
                </w:tcPr>
                <w:p w14:paraId="752B834F" w14:textId="2097EE02" w:rsidR="00E74A64" w:rsidRPr="00D34532" w:rsidRDefault="00E74A64" w:rsidP="00E74A64">
                  <w:pPr>
                    <w:pStyle w:val="NoSpacing"/>
                    <w:jc w:val="center"/>
                    <w:rPr>
                      <w:noProof/>
                      <w:sz w:val="16"/>
                      <w:szCs w:val="16"/>
                    </w:rPr>
                  </w:pPr>
                  <w:r w:rsidRPr="00D34532">
                    <w:rPr>
                      <w:noProof/>
                      <w:sz w:val="16"/>
                      <w:szCs w:val="16"/>
                    </w:rPr>
                    <w:t>Exp</w:t>
                  </w:r>
                </w:p>
              </w:tc>
              <w:tc>
                <w:tcPr>
                  <w:tcW w:w="636" w:type="dxa"/>
                  <w:shd w:val="clear" w:color="auto" w:fill="D9D9D9" w:themeFill="background1" w:themeFillShade="D9"/>
                </w:tcPr>
                <w:p w14:paraId="21596A02" w14:textId="762D6A2F" w:rsidR="00E74A64" w:rsidRPr="00D34532" w:rsidRDefault="00E74A64" w:rsidP="00E74A64">
                  <w:pPr>
                    <w:pStyle w:val="NoSpacing"/>
                    <w:rPr>
                      <w:noProof/>
                      <w:sz w:val="16"/>
                      <w:szCs w:val="16"/>
                    </w:rPr>
                  </w:pPr>
                  <w:r w:rsidRPr="00D34532">
                    <w:rPr>
                      <w:noProof/>
                      <w:sz w:val="16"/>
                      <w:szCs w:val="16"/>
                    </w:rPr>
                    <w:t xml:space="preserve">Ab exp </w:t>
                  </w:r>
                </w:p>
              </w:tc>
              <w:tc>
                <w:tcPr>
                  <w:tcW w:w="636" w:type="dxa"/>
                  <w:shd w:val="clear" w:color="auto" w:fill="D9D9D9" w:themeFill="background1" w:themeFillShade="D9"/>
                </w:tcPr>
                <w:p w14:paraId="7E448F63" w14:textId="1541F35C" w:rsidR="00E74A64" w:rsidRPr="00D34532" w:rsidRDefault="00E74A64" w:rsidP="00E74A64">
                  <w:pPr>
                    <w:pStyle w:val="NoSpacing"/>
                    <w:rPr>
                      <w:noProof/>
                      <w:sz w:val="16"/>
                      <w:szCs w:val="16"/>
                    </w:rPr>
                  </w:pPr>
                  <w:r w:rsidRPr="00D34532">
                    <w:rPr>
                      <w:noProof/>
                      <w:sz w:val="16"/>
                      <w:szCs w:val="16"/>
                    </w:rPr>
                    <w:t>Exp</w:t>
                  </w:r>
                </w:p>
              </w:tc>
              <w:tc>
                <w:tcPr>
                  <w:tcW w:w="636" w:type="dxa"/>
                  <w:shd w:val="clear" w:color="auto" w:fill="D9D9D9" w:themeFill="background1" w:themeFillShade="D9"/>
                </w:tcPr>
                <w:p w14:paraId="273DBFCE" w14:textId="1E21D19D" w:rsidR="00E74A64" w:rsidRPr="00D34532" w:rsidRDefault="00E74A64" w:rsidP="00E74A64">
                  <w:pPr>
                    <w:pStyle w:val="NoSpacing"/>
                    <w:rPr>
                      <w:noProof/>
                      <w:sz w:val="16"/>
                      <w:szCs w:val="16"/>
                    </w:rPr>
                  </w:pPr>
                  <w:r w:rsidRPr="00D34532">
                    <w:rPr>
                      <w:noProof/>
                      <w:sz w:val="16"/>
                      <w:szCs w:val="16"/>
                    </w:rPr>
                    <w:t xml:space="preserve">Ab exp </w:t>
                  </w:r>
                </w:p>
              </w:tc>
              <w:tc>
                <w:tcPr>
                  <w:tcW w:w="636" w:type="dxa"/>
                  <w:shd w:val="clear" w:color="auto" w:fill="D9D9D9" w:themeFill="background1" w:themeFillShade="D9"/>
                </w:tcPr>
                <w:p w14:paraId="06F3F89D" w14:textId="12732890" w:rsidR="00E74A64" w:rsidRPr="00D34532" w:rsidRDefault="00E74A64" w:rsidP="00E74A64">
                  <w:pPr>
                    <w:pStyle w:val="NoSpacing"/>
                    <w:rPr>
                      <w:noProof/>
                      <w:sz w:val="16"/>
                      <w:szCs w:val="16"/>
                    </w:rPr>
                  </w:pPr>
                  <w:r w:rsidRPr="00D34532">
                    <w:rPr>
                      <w:noProof/>
                      <w:sz w:val="16"/>
                      <w:szCs w:val="16"/>
                    </w:rPr>
                    <w:t>Exp</w:t>
                  </w:r>
                </w:p>
              </w:tc>
              <w:tc>
                <w:tcPr>
                  <w:tcW w:w="636" w:type="dxa"/>
                  <w:shd w:val="clear" w:color="auto" w:fill="D9D9D9" w:themeFill="background1" w:themeFillShade="D9"/>
                </w:tcPr>
                <w:p w14:paraId="58954A0B" w14:textId="66E7DC73" w:rsidR="00E74A64" w:rsidRPr="00D34532" w:rsidRDefault="00E74A64" w:rsidP="00E74A64">
                  <w:pPr>
                    <w:pStyle w:val="NoSpacing"/>
                    <w:rPr>
                      <w:noProof/>
                      <w:sz w:val="16"/>
                      <w:szCs w:val="16"/>
                    </w:rPr>
                  </w:pPr>
                  <w:r w:rsidRPr="00D34532">
                    <w:rPr>
                      <w:noProof/>
                      <w:sz w:val="16"/>
                      <w:szCs w:val="16"/>
                    </w:rPr>
                    <w:t xml:space="preserve">Ab exp </w:t>
                  </w:r>
                </w:p>
              </w:tc>
              <w:tc>
                <w:tcPr>
                  <w:tcW w:w="636" w:type="dxa"/>
                  <w:shd w:val="clear" w:color="auto" w:fill="D9D9D9" w:themeFill="background1" w:themeFillShade="D9"/>
                </w:tcPr>
                <w:p w14:paraId="72466BDF" w14:textId="68011432" w:rsidR="00E74A64" w:rsidRPr="00D34532" w:rsidRDefault="00E74A64" w:rsidP="00E74A64">
                  <w:pPr>
                    <w:pStyle w:val="NoSpacing"/>
                    <w:rPr>
                      <w:noProof/>
                      <w:sz w:val="16"/>
                      <w:szCs w:val="16"/>
                    </w:rPr>
                  </w:pPr>
                  <w:r w:rsidRPr="00D34532">
                    <w:rPr>
                      <w:noProof/>
                      <w:sz w:val="16"/>
                      <w:szCs w:val="16"/>
                    </w:rPr>
                    <w:t>Exp</w:t>
                  </w:r>
                </w:p>
              </w:tc>
              <w:tc>
                <w:tcPr>
                  <w:tcW w:w="636" w:type="dxa"/>
                  <w:shd w:val="clear" w:color="auto" w:fill="D9D9D9" w:themeFill="background1" w:themeFillShade="D9"/>
                </w:tcPr>
                <w:p w14:paraId="12A54F16" w14:textId="0C70BC00" w:rsidR="00E74A64" w:rsidRPr="00D34532" w:rsidRDefault="00E74A64" w:rsidP="00E74A64">
                  <w:pPr>
                    <w:pStyle w:val="NoSpacing"/>
                    <w:rPr>
                      <w:noProof/>
                      <w:sz w:val="16"/>
                      <w:szCs w:val="16"/>
                    </w:rPr>
                  </w:pPr>
                  <w:r w:rsidRPr="00D34532">
                    <w:rPr>
                      <w:noProof/>
                      <w:sz w:val="16"/>
                      <w:szCs w:val="16"/>
                    </w:rPr>
                    <w:t xml:space="preserve">Ab exp </w:t>
                  </w:r>
                </w:p>
              </w:tc>
              <w:tc>
                <w:tcPr>
                  <w:tcW w:w="636" w:type="dxa"/>
                  <w:shd w:val="clear" w:color="auto" w:fill="D9D9D9" w:themeFill="background1" w:themeFillShade="D9"/>
                </w:tcPr>
                <w:p w14:paraId="6AD7C93E" w14:textId="5BE90CD0" w:rsidR="00E74A64" w:rsidRPr="00D34532" w:rsidRDefault="00E74A64" w:rsidP="00E74A64">
                  <w:pPr>
                    <w:pStyle w:val="NoSpacing"/>
                    <w:rPr>
                      <w:noProof/>
                      <w:sz w:val="16"/>
                      <w:szCs w:val="16"/>
                    </w:rPr>
                  </w:pPr>
                  <w:r w:rsidRPr="00D34532">
                    <w:rPr>
                      <w:noProof/>
                      <w:sz w:val="16"/>
                      <w:szCs w:val="16"/>
                    </w:rPr>
                    <w:t>Exp</w:t>
                  </w:r>
                </w:p>
              </w:tc>
              <w:tc>
                <w:tcPr>
                  <w:tcW w:w="636" w:type="dxa"/>
                  <w:shd w:val="clear" w:color="auto" w:fill="D9D9D9" w:themeFill="background1" w:themeFillShade="D9"/>
                </w:tcPr>
                <w:p w14:paraId="73504FF3" w14:textId="169D65FA" w:rsidR="00E74A64" w:rsidRPr="00D34532" w:rsidRDefault="00E74A64" w:rsidP="00E74A64">
                  <w:pPr>
                    <w:pStyle w:val="NoSpacing"/>
                    <w:rPr>
                      <w:noProof/>
                      <w:sz w:val="16"/>
                      <w:szCs w:val="16"/>
                    </w:rPr>
                  </w:pPr>
                  <w:r w:rsidRPr="00D34532">
                    <w:rPr>
                      <w:noProof/>
                      <w:sz w:val="16"/>
                      <w:szCs w:val="16"/>
                    </w:rPr>
                    <w:t xml:space="preserve">Ab exp </w:t>
                  </w:r>
                </w:p>
              </w:tc>
              <w:tc>
                <w:tcPr>
                  <w:tcW w:w="637" w:type="dxa"/>
                  <w:shd w:val="clear" w:color="auto" w:fill="D9D9D9" w:themeFill="background1" w:themeFillShade="D9"/>
                </w:tcPr>
                <w:p w14:paraId="6B180400" w14:textId="2F5DD634" w:rsidR="00E74A64" w:rsidRPr="00D34532" w:rsidRDefault="00E74A64" w:rsidP="00E74A64">
                  <w:pPr>
                    <w:pStyle w:val="NoSpacing"/>
                    <w:rPr>
                      <w:noProof/>
                      <w:sz w:val="16"/>
                      <w:szCs w:val="16"/>
                    </w:rPr>
                  </w:pPr>
                  <w:r w:rsidRPr="00D34532">
                    <w:rPr>
                      <w:noProof/>
                      <w:sz w:val="16"/>
                      <w:szCs w:val="16"/>
                    </w:rPr>
                    <w:t>Exp</w:t>
                  </w:r>
                </w:p>
              </w:tc>
              <w:tc>
                <w:tcPr>
                  <w:tcW w:w="637" w:type="dxa"/>
                  <w:shd w:val="clear" w:color="auto" w:fill="D9D9D9" w:themeFill="background1" w:themeFillShade="D9"/>
                </w:tcPr>
                <w:p w14:paraId="135E7567" w14:textId="3DEF4D13" w:rsidR="00E74A64" w:rsidRPr="00D34532" w:rsidRDefault="00E74A64" w:rsidP="00E74A64">
                  <w:pPr>
                    <w:pStyle w:val="NoSpacing"/>
                    <w:rPr>
                      <w:noProof/>
                      <w:sz w:val="16"/>
                      <w:szCs w:val="16"/>
                    </w:rPr>
                  </w:pPr>
                  <w:r w:rsidRPr="00D34532">
                    <w:rPr>
                      <w:noProof/>
                      <w:sz w:val="16"/>
                      <w:szCs w:val="16"/>
                    </w:rPr>
                    <w:t xml:space="preserve">Ab exp </w:t>
                  </w:r>
                </w:p>
              </w:tc>
            </w:tr>
            <w:tr w:rsidR="00F062F7" w:rsidRPr="00D34532" w14:paraId="6BC06B8F" w14:textId="77777777" w:rsidTr="00D34532">
              <w:tc>
                <w:tcPr>
                  <w:tcW w:w="636" w:type="dxa"/>
                  <w:shd w:val="clear" w:color="auto" w:fill="A6A6A6" w:themeFill="background1" w:themeFillShade="A6"/>
                </w:tcPr>
                <w:p w14:paraId="61FDABD2" w14:textId="19D48EF3" w:rsidR="00F570EF" w:rsidRPr="00D34532" w:rsidRDefault="00E74A64" w:rsidP="00102E9F">
                  <w:pPr>
                    <w:pStyle w:val="NoSpacing"/>
                    <w:rPr>
                      <w:noProof/>
                      <w:sz w:val="16"/>
                      <w:szCs w:val="16"/>
                    </w:rPr>
                  </w:pPr>
                  <w:r w:rsidRPr="00D34532">
                    <w:rPr>
                      <w:noProof/>
                      <w:sz w:val="16"/>
                      <w:szCs w:val="16"/>
                    </w:rPr>
                    <w:t>Reading</w:t>
                  </w:r>
                </w:p>
              </w:tc>
              <w:tc>
                <w:tcPr>
                  <w:tcW w:w="636" w:type="dxa"/>
                </w:tcPr>
                <w:p w14:paraId="5BB58DC0" w14:textId="4271C94C" w:rsidR="00F570EF" w:rsidRPr="00D34532" w:rsidRDefault="00D34532" w:rsidP="00102E9F">
                  <w:pPr>
                    <w:pStyle w:val="NoSpacing"/>
                    <w:rPr>
                      <w:noProof/>
                      <w:sz w:val="16"/>
                      <w:szCs w:val="16"/>
                    </w:rPr>
                  </w:pPr>
                  <w:r w:rsidRPr="00D34532">
                    <w:rPr>
                      <w:noProof/>
                      <w:sz w:val="16"/>
                      <w:szCs w:val="16"/>
                    </w:rPr>
                    <w:t>93%</w:t>
                  </w:r>
                </w:p>
              </w:tc>
              <w:tc>
                <w:tcPr>
                  <w:tcW w:w="636" w:type="dxa"/>
                </w:tcPr>
                <w:p w14:paraId="5F0BDF42" w14:textId="38804D96" w:rsidR="00F570EF" w:rsidRPr="00D34532" w:rsidRDefault="00D34532" w:rsidP="00102E9F">
                  <w:pPr>
                    <w:pStyle w:val="NoSpacing"/>
                    <w:rPr>
                      <w:noProof/>
                      <w:sz w:val="16"/>
                      <w:szCs w:val="16"/>
                    </w:rPr>
                  </w:pPr>
                  <w:r w:rsidRPr="00D34532">
                    <w:rPr>
                      <w:noProof/>
                      <w:sz w:val="16"/>
                      <w:szCs w:val="16"/>
                    </w:rPr>
                    <w:t>27%</w:t>
                  </w:r>
                </w:p>
              </w:tc>
              <w:tc>
                <w:tcPr>
                  <w:tcW w:w="636" w:type="dxa"/>
                </w:tcPr>
                <w:p w14:paraId="6580BF04" w14:textId="4CE9AE8C" w:rsidR="00F570EF" w:rsidRPr="00D34532" w:rsidRDefault="00B97F08" w:rsidP="00102E9F">
                  <w:pPr>
                    <w:pStyle w:val="NoSpacing"/>
                    <w:rPr>
                      <w:noProof/>
                      <w:sz w:val="16"/>
                      <w:szCs w:val="16"/>
                    </w:rPr>
                  </w:pPr>
                  <w:r w:rsidRPr="00D34532">
                    <w:rPr>
                      <w:noProof/>
                      <w:sz w:val="16"/>
                      <w:szCs w:val="16"/>
                    </w:rPr>
                    <w:t>100</w:t>
                  </w:r>
                  <w:r w:rsidR="007A051A" w:rsidRPr="00D34532">
                    <w:rPr>
                      <w:noProof/>
                      <w:sz w:val="16"/>
                      <w:szCs w:val="16"/>
                    </w:rPr>
                    <w:t>%</w:t>
                  </w:r>
                </w:p>
              </w:tc>
              <w:tc>
                <w:tcPr>
                  <w:tcW w:w="636" w:type="dxa"/>
                </w:tcPr>
                <w:p w14:paraId="172CE6B4" w14:textId="39F47E00" w:rsidR="00F570EF" w:rsidRPr="00D34532" w:rsidRDefault="0077269E" w:rsidP="00102E9F">
                  <w:pPr>
                    <w:pStyle w:val="NoSpacing"/>
                    <w:rPr>
                      <w:noProof/>
                      <w:sz w:val="16"/>
                      <w:szCs w:val="16"/>
                    </w:rPr>
                  </w:pPr>
                  <w:r w:rsidRPr="00D34532">
                    <w:rPr>
                      <w:noProof/>
                      <w:sz w:val="16"/>
                      <w:szCs w:val="16"/>
                    </w:rPr>
                    <w:t>2</w:t>
                  </w:r>
                  <w:r w:rsidR="00F062F7" w:rsidRPr="00D34532">
                    <w:rPr>
                      <w:noProof/>
                      <w:sz w:val="16"/>
                      <w:szCs w:val="16"/>
                    </w:rPr>
                    <w:t>9%</w:t>
                  </w:r>
                </w:p>
              </w:tc>
              <w:tc>
                <w:tcPr>
                  <w:tcW w:w="636" w:type="dxa"/>
                </w:tcPr>
                <w:p w14:paraId="309B5099" w14:textId="6002E79D" w:rsidR="00F570EF" w:rsidRPr="00D34532" w:rsidRDefault="00746E1F" w:rsidP="00102E9F">
                  <w:pPr>
                    <w:pStyle w:val="NoSpacing"/>
                    <w:rPr>
                      <w:noProof/>
                      <w:sz w:val="16"/>
                      <w:szCs w:val="16"/>
                    </w:rPr>
                  </w:pPr>
                  <w:r w:rsidRPr="00D34532">
                    <w:rPr>
                      <w:noProof/>
                      <w:sz w:val="16"/>
                      <w:szCs w:val="16"/>
                    </w:rPr>
                    <w:t>94</w:t>
                  </w:r>
                  <w:r w:rsidR="00E37562" w:rsidRPr="00D34532">
                    <w:rPr>
                      <w:noProof/>
                      <w:sz w:val="16"/>
                      <w:szCs w:val="16"/>
                    </w:rPr>
                    <w:t>%</w:t>
                  </w:r>
                </w:p>
              </w:tc>
              <w:tc>
                <w:tcPr>
                  <w:tcW w:w="636" w:type="dxa"/>
                </w:tcPr>
                <w:p w14:paraId="516FC2D1" w14:textId="49EB3952" w:rsidR="00F570EF" w:rsidRPr="00D34532" w:rsidRDefault="00E37562" w:rsidP="00102E9F">
                  <w:pPr>
                    <w:pStyle w:val="NoSpacing"/>
                    <w:rPr>
                      <w:noProof/>
                      <w:sz w:val="16"/>
                      <w:szCs w:val="16"/>
                    </w:rPr>
                  </w:pPr>
                  <w:r w:rsidRPr="00D34532">
                    <w:rPr>
                      <w:noProof/>
                      <w:sz w:val="16"/>
                      <w:szCs w:val="16"/>
                    </w:rPr>
                    <w:t>38%</w:t>
                  </w:r>
                </w:p>
              </w:tc>
              <w:tc>
                <w:tcPr>
                  <w:tcW w:w="636" w:type="dxa"/>
                </w:tcPr>
                <w:p w14:paraId="47919F78" w14:textId="509340E9" w:rsidR="00F570EF" w:rsidRPr="00D34532" w:rsidRDefault="00C37DC3" w:rsidP="00102E9F">
                  <w:pPr>
                    <w:pStyle w:val="NoSpacing"/>
                    <w:rPr>
                      <w:noProof/>
                      <w:sz w:val="16"/>
                      <w:szCs w:val="16"/>
                    </w:rPr>
                  </w:pPr>
                  <w:r w:rsidRPr="00D34532">
                    <w:rPr>
                      <w:noProof/>
                      <w:sz w:val="16"/>
                      <w:szCs w:val="16"/>
                    </w:rPr>
                    <w:t>94</w:t>
                  </w:r>
                  <w:r w:rsidR="00DF2284" w:rsidRPr="00D34532">
                    <w:rPr>
                      <w:noProof/>
                      <w:sz w:val="16"/>
                      <w:szCs w:val="16"/>
                    </w:rPr>
                    <w:t>%</w:t>
                  </w:r>
                </w:p>
              </w:tc>
              <w:tc>
                <w:tcPr>
                  <w:tcW w:w="636" w:type="dxa"/>
                </w:tcPr>
                <w:p w14:paraId="389FACBD" w14:textId="3D5B54B4" w:rsidR="00F570EF" w:rsidRPr="00D34532" w:rsidRDefault="00DF2284" w:rsidP="00102E9F">
                  <w:pPr>
                    <w:pStyle w:val="NoSpacing"/>
                    <w:rPr>
                      <w:noProof/>
                      <w:sz w:val="16"/>
                      <w:szCs w:val="16"/>
                    </w:rPr>
                  </w:pPr>
                  <w:r w:rsidRPr="00D34532">
                    <w:rPr>
                      <w:noProof/>
                      <w:sz w:val="16"/>
                      <w:szCs w:val="16"/>
                    </w:rPr>
                    <w:t>31%</w:t>
                  </w:r>
                </w:p>
              </w:tc>
              <w:tc>
                <w:tcPr>
                  <w:tcW w:w="636" w:type="dxa"/>
                </w:tcPr>
                <w:p w14:paraId="60B2A8F2" w14:textId="65F3EB8E" w:rsidR="00F570EF" w:rsidRPr="00D34532" w:rsidRDefault="00452D32" w:rsidP="00102E9F">
                  <w:pPr>
                    <w:pStyle w:val="NoSpacing"/>
                    <w:rPr>
                      <w:noProof/>
                      <w:sz w:val="16"/>
                      <w:szCs w:val="16"/>
                    </w:rPr>
                  </w:pPr>
                  <w:r w:rsidRPr="00D34532">
                    <w:rPr>
                      <w:noProof/>
                      <w:sz w:val="16"/>
                      <w:szCs w:val="16"/>
                    </w:rPr>
                    <w:t>100%</w:t>
                  </w:r>
                </w:p>
              </w:tc>
              <w:tc>
                <w:tcPr>
                  <w:tcW w:w="636" w:type="dxa"/>
                </w:tcPr>
                <w:p w14:paraId="41084765" w14:textId="60B314A4" w:rsidR="00F570EF" w:rsidRPr="00D34532" w:rsidRDefault="00486B04" w:rsidP="00102E9F">
                  <w:pPr>
                    <w:pStyle w:val="NoSpacing"/>
                    <w:rPr>
                      <w:noProof/>
                      <w:sz w:val="16"/>
                      <w:szCs w:val="16"/>
                    </w:rPr>
                  </w:pPr>
                  <w:r w:rsidRPr="00D34532">
                    <w:rPr>
                      <w:noProof/>
                      <w:sz w:val="16"/>
                      <w:szCs w:val="16"/>
                    </w:rPr>
                    <w:t>29%</w:t>
                  </w:r>
                </w:p>
              </w:tc>
              <w:tc>
                <w:tcPr>
                  <w:tcW w:w="637" w:type="dxa"/>
                </w:tcPr>
                <w:p w14:paraId="75A7D4B7" w14:textId="094B2FC0" w:rsidR="00F570EF" w:rsidRPr="00D34532" w:rsidRDefault="00FC1895" w:rsidP="00102E9F">
                  <w:pPr>
                    <w:pStyle w:val="NoSpacing"/>
                    <w:rPr>
                      <w:noProof/>
                      <w:sz w:val="16"/>
                      <w:szCs w:val="16"/>
                    </w:rPr>
                  </w:pPr>
                  <w:r w:rsidRPr="00D34532">
                    <w:rPr>
                      <w:noProof/>
                      <w:sz w:val="16"/>
                      <w:szCs w:val="16"/>
                    </w:rPr>
                    <w:t>83%</w:t>
                  </w:r>
                </w:p>
              </w:tc>
              <w:tc>
                <w:tcPr>
                  <w:tcW w:w="637" w:type="dxa"/>
                </w:tcPr>
                <w:p w14:paraId="42986751" w14:textId="1AA6B2C0" w:rsidR="00F570EF" w:rsidRPr="00D34532" w:rsidRDefault="00FC1895" w:rsidP="00102E9F">
                  <w:pPr>
                    <w:pStyle w:val="NoSpacing"/>
                    <w:rPr>
                      <w:noProof/>
                      <w:sz w:val="16"/>
                      <w:szCs w:val="16"/>
                    </w:rPr>
                  </w:pPr>
                  <w:r w:rsidRPr="00D34532">
                    <w:rPr>
                      <w:noProof/>
                      <w:sz w:val="16"/>
                      <w:szCs w:val="16"/>
                    </w:rPr>
                    <w:t>17%</w:t>
                  </w:r>
                </w:p>
              </w:tc>
            </w:tr>
            <w:tr w:rsidR="00F062F7" w:rsidRPr="00D34532" w14:paraId="5558129A" w14:textId="77777777" w:rsidTr="00D34532">
              <w:tc>
                <w:tcPr>
                  <w:tcW w:w="636" w:type="dxa"/>
                  <w:shd w:val="clear" w:color="auto" w:fill="A6A6A6" w:themeFill="background1" w:themeFillShade="A6"/>
                </w:tcPr>
                <w:p w14:paraId="4FEB44AF" w14:textId="22CF79A4" w:rsidR="00F570EF" w:rsidRPr="00D34532" w:rsidRDefault="00E74A64" w:rsidP="00102E9F">
                  <w:pPr>
                    <w:pStyle w:val="NoSpacing"/>
                    <w:rPr>
                      <w:noProof/>
                      <w:sz w:val="16"/>
                      <w:szCs w:val="16"/>
                    </w:rPr>
                  </w:pPr>
                  <w:r w:rsidRPr="00D34532">
                    <w:rPr>
                      <w:noProof/>
                      <w:sz w:val="16"/>
                      <w:szCs w:val="16"/>
                    </w:rPr>
                    <w:t>Writing</w:t>
                  </w:r>
                </w:p>
              </w:tc>
              <w:tc>
                <w:tcPr>
                  <w:tcW w:w="636" w:type="dxa"/>
                </w:tcPr>
                <w:p w14:paraId="0FB6D19B" w14:textId="224437E3" w:rsidR="00F570EF" w:rsidRPr="00D34532" w:rsidRDefault="00C4794E" w:rsidP="00102E9F">
                  <w:pPr>
                    <w:pStyle w:val="NoSpacing"/>
                    <w:rPr>
                      <w:noProof/>
                      <w:sz w:val="16"/>
                      <w:szCs w:val="16"/>
                    </w:rPr>
                  </w:pPr>
                  <w:r w:rsidRPr="00D34532">
                    <w:rPr>
                      <w:noProof/>
                      <w:sz w:val="16"/>
                      <w:szCs w:val="16"/>
                    </w:rPr>
                    <w:t>9</w:t>
                  </w:r>
                  <w:r w:rsidR="00D34532" w:rsidRPr="00D34532">
                    <w:rPr>
                      <w:noProof/>
                      <w:sz w:val="16"/>
                      <w:szCs w:val="16"/>
                    </w:rPr>
                    <w:t>4%</w:t>
                  </w:r>
                </w:p>
              </w:tc>
              <w:tc>
                <w:tcPr>
                  <w:tcW w:w="636" w:type="dxa"/>
                </w:tcPr>
                <w:p w14:paraId="7393ED97" w14:textId="2D2D3342" w:rsidR="00F570EF" w:rsidRPr="00D34532" w:rsidRDefault="00D34532" w:rsidP="00102E9F">
                  <w:pPr>
                    <w:pStyle w:val="NoSpacing"/>
                    <w:rPr>
                      <w:noProof/>
                      <w:sz w:val="16"/>
                      <w:szCs w:val="16"/>
                    </w:rPr>
                  </w:pPr>
                  <w:r w:rsidRPr="00D34532">
                    <w:rPr>
                      <w:noProof/>
                      <w:sz w:val="16"/>
                      <w:szCs w:val="16"/>
                    </w:rPr>
                    <w:t>35%</w:t>
                  </w:r>
                </w:p>
              </w:tc>
              <w:tc>
                <w:tcPr>
                  <w:tcW w:w="636" w:type="dxa"/>
                </w:tcPr>
                <w:p w14:paraId="0D0EA23C" w14:textId="6E3A4804" w:rsidR="00F570EF" w:rsidRPr="00D34532" w:rsidRDefault="00F307D3" w:rsidP="00102E9F">
                  <w:pPr>
                    <w:pStyle w:val="NoSpacing"/>
                    <w:rPr>
                      <w:noProof/>
                      <w:sz w:val="16"/>
                      <w:szCs w:val="16"/>
                    </w:rPr>
                  </w:pPr>
                  <w:r w:rsidRPr="00D34532">
                    <w:rPr>
                      <w:noProof/>
                      <w:sz w:val="16"/>
                      <w:szCs w:val="16"/>
                    </w:rPr>
                    <w:t>94</w:t>
                  </w:r>
                  <w:r w:rsidR="007A051A" w:rsidRPr="00D34532">
                    <w:rPr>
                      <w:noProof/>
                      <w:sz w:val="16"/>
                      <w:szCs w:val="16"/>
                    </w:rPr>
                    <w:t>%</w:t>
                  </w:r>
                </w:p>
              </w:tc>
              <w:tc>
                <w:tcPr>
                  <w:tcW w:w="636" w:type="dxa"/>
                </w:tcPr>
                <w:p w14:paraId="05728C53" w14:textId="3B5EABE0" w:rsidR="00F570EF" w:rsidRPr="00D34532" w:rsidRDefault="008641A6" w:rsidP="00102E9F">
                  <w:pPr>
                    <w:pStyle w:val="NoSpacing"/>
                    <w:rPr>
                      <w:noProof/>
                      <w:sz w:val="16"/>
                      <w:szCs w:val="16"/>
                    </w:rPr>
                  </w:pPr>
                  <w:r w:rsidRPr="00D34532">
                    <w:rPr>
                      <w:noProof/>
                      <w:sz w:val="16"/>
                      <w:szCs w:val="16"/>
                    </w:rPr>
                    <w:t>12</w:t>
                  </w:r>
                  <w:r w:rsidR="00F062F7" w:rsidRPr="00D34532">
                    <w:rPr>
                      <w:noProof/>
                      <w:sz w:val="16"/>
                      <w:szCs w:val="16"/>
                    </w:rPr>
                    <w:t>%</w:t>
                  </w:r>
                </w:p>
              </w:tc>
              <w:tc>
                <w:tcPr>
                  <w:tcW w:w="636" w:type="dxa"/>
                </w:tcPr>
                <w:p w14:paraId="167E0C4B" w14:textId="6A7C504B" w:rsidR="00F570EF" w:rsidRPr="00D34532" w:rsidRDefault="00906E74" w:rsidP="00102E9F">
                  <w:pPr>
                    <w:pStyle w:val="NoSpacing"/>
                    <w:rPr>
                      <w:noProof/>
                      <w:sz w:val="16"/>
                      <w:szCs w:val="16"/>
                    </w:rPr>
                  </w:pPr>
                  <w:r w:rsidRPr="00D34532">
                    <w:rPr>
                      <w:noProof/>
                      <w:sz w:val="16"/>
                      <w:szCs w:val="16"/>
                    </w:rPr>
                    <w:t>8</w:t>
                  </w:r>
                  <w:r w:rsidR="00746E1F" w:rsidRPr="00D34532">
                    <w:rPr>
                      <w:noProof/>
                      <w:sz w:val="16"/>
                      <w:szCs w:val="16"/>
                    </w:rPr>
                    <w:t>1</w:t>
                  </w:r>
                  <w:r w:rsidR="00E37562" w:rsidRPr="00D34532">
                    <w:rPr>
                      <w:noProof/>
                      <w:sz w:val="16"/>
                      <w:szCs w:val="16"/>
                    </w:rPr>
                    <w:t>%</w:t>
                  </w:r>
                </w:p>
              </w:tc>
              <w:tc>
                <w:tcPr>
                  <w:tcW w:w="636" w:type="dxa"/>
                </w:tcPr>
                <w:p w14:paraId="7CAA5F4D" w14:textId="6DCF6F3C" w:rsidR="00F570EF" w:rsidRPr="00D34532" w:rsidRDefault="00E37562" w:rsidP="00102E9F">
                  <w:pPr>
                    <w:pStyle w:val="NoSpacing"/>
                    <w:rPr>
                      <w:noProof/>
                      <w:sz w:val="16"/>
                      <w:szCs w:val="16"/>
                    </w:rPr>
                  </w:pPr>
                  <w:r w:rsidRPr="00D34532">
                    <w:rPr>
                      <w:noProof/>
                      <w:sz w:val="16"/>
                      <w:szCs w:val="16"/>
                    </w:rPr>
                    <w:t>13%</w:t>
                  </w:r>
                </w:p>
              </w:tc>
              <w:tc>
                <w:tcPr>
                  <w:tcW w:w="636" w:type="dxa"/>
                </w:tcPr>
                <w:p w14:paraId="2F1706CF" w14:textId="27A3C397" w:rsidR="00F570EF" w:rsidRPr="00D34532" w:rsidRDefault="00C37DC3" w:rsidP="00102E9F">
                  <w:pPr>
                    <w:pStyle w:val="NoSpacing"/>
                    <w:rPr>
                      <w:noProof/>
                      <w:sz w:val="16"/>
                      <w:szCs w:val="16"/>
                    </w:rPr>
                  </w:pPr>
                  <w:r w:rsidRPr="00D34532">
                    <w:rPr>
                      <w:noProof/>
                      <w:sz w:val="16"/>
                      <w:szCs w:val="16"/>
                    </w:rPr>
                    <w:t>100</w:t>
                  </w:r>
                  <w:r w:rsidR="00DF2284" w:rsidRPr="00D34532">
                    <w:rPr>
                      <w:noProof/>
                      <w:sz w:val="16"/>
                      <w:szCs w:val="16"/>
                    </w:rPr>
                    <w:t>%</w:t>
                  </w:r>
                </w:p>
              </w:tc>
              <w:tc>
                <w:tcPr>
                  <w:tcW w:w="636" w:type="dxa"/>
                </w:tcPr>
                <w:p w14:paraId="216CF42A" w14:textId="7798D61F" w:rsidR="00F570EF" w:rsidRPr="00D34532" w:rsidRDefault="00DF2284" w:rsidP="00102E9F">
                  <w:pPr>
                    <w:pStyle w:val="NoSpacing"/>
                    <w:rPr>
                      <w:noProof/>
                      <w:sz w:val="16"/>
                      <w:szCs w:val="16"/>
                    </w:rPr>
                  </w:pPr>
                  <w:r w:rsidRPr="00D34532">
                    <w:rPr>
                      <w:noProof/>
                      <w:sz w:val="16"/>
                      <w:szCs w:val="16"/>
                    </w:rPr>
                    <w:t>6%</w:t>
                  </w:r>
                </w:p>
              </w:tc>
              <w:tc>
                <w:tcPr>
                  <w:tcW w:w="636" w:type="dxa"/>
                </w:tcPr>
                <w:p w14:paraId="6BDFB53D" w14:textId="59A08BE3" w:rsidR="00F570EF" w:rsidRPr="00D34532" w:rsidRDefault="003F2DED" w:rsidP="00102E9F">
                  <w:pPr>
                    <w:pStyle w:val="NoSpacing"/>
                    <w:rPr>
                      <w:noProof/>
                      <w:sz w:val="16"/>
                      <w:szCs w:val="16"/>
                    </w:rPr>
                  </w:pPr>
                  <w:r w:rsidRPr="00D34532">
                    <w:rPr>
                      <w:noProof/>
                      <w:sz w:val="16"/>
                      <w:szCs w:val="16"/>
                    </w:rPr>
                    <w:t>100</w:t>
                  </w:r>
                  <w:r w:rsidR="00452D32" w:rsidRPr="00D34532">
                    <w:rPr>
                      <w:noProof/>
                      <w:sz w:val="16"/>
                      <w:szCs w:val="16"/>
                    </w:rPr>
                    <w:t>%</w:t>
                  </w:r>
                </w:p>
              </w:tc>
              <w:tc>
                <w:tcPr>
                  <w:tcW w:w="636" w:type="dxa"/>
                </w:tcPr>
                <w:p w14:paraId="0038D808" w14:textId="64711157" w:rsidR="00F570EF" w:rsidRPr="00D34532" w:rsidRDefault="00486B04" w:rsidP="00102E9F">
                  <w:pPr>
                    <w:pStyle w:val="NoSpacing"/>
                    <w:rPr>
                      <w:noProof/>
                      <w:sz w:val="16"/>
                      <w:szCs w:val="16"/>
                    </w:rPr>
                  </w:pPr>
                  <w:r w:rsidRPr="00D34532">
                    <w:rPr>
                      <w:noProof/>
                      <w:sz w:val="16"/>
                      <w:szCs w:val="16"/>
                    </w:rPr>
                    <w:t>53%</w:t>
                  </w:r>
                </w:p>
              </w:tc>
              <w:tc>
                <w:tcPr>
                  <w:tcW w:w="637" w:type="dxa"/>
                </w:tcPr>
                <w:p w14:paraId="1FC4498E" w14:textId="08243882" w:rsidR="00F570EF" w:rsidRPr="00D34532" w:rsidRDefault="003F2DED" w:rsidP="00102E9F">
                  <w:pPr>
                    <w:pStyle w:val="NoSpacing"/>
                    <w:rPr>
                      <w:noProof/>
                      <w:sz w:val="16"/>
                      <w:szCs w:val="16"/>
                    </w:rPr>
                  </w:pPr>
                  <w:r w:rsidRPr="00D34532">
                    <w:rPr>
                      <w:noProof/>
                      <w:sz w:val="16"/>
                      <w:szCs w:val="16"/>
                    </w:rPr>
                    <w:t>100</w:t>
                  </w:r>
                  <w:r w:rsidR="00FC1895" w:rsidRPr="00D34532">
                    <w:rPr>
                      <w:noProof/>
                      <w:sz w:val="16"/>
                      <w:szCs w:val="16"/>
                    </w:rPr>
                    <w:t>%</w:t>
                  </w:r>
                </w:p>
              </w:tc>
              <w:tc>
                <w:tcPr>
                  <w:tcW w:w="637" w:type="dxa"/>
                </w:tcPr>
                <w:p w14:paraId="48468B3A" w14:textId="7F73DB08" w:rsidR="00F570EF" w:rsidRPr="00D34532" w:rsidRDefault="00FC1895" w:rsidP="00102E9F">
                  <w:pPr>
                    <w:pStyle w:val="NoSpacing"/>
                    <w:rPr>
                      <w:noProof/>
                      <w:sz w:val="16"/>
                      <w:szCs w:val="16"/>
                    </w:rPr>
                  </w:pPr>
                  <w:r w:rsidRPr="00D34532">
                    <w:rPr>
                      <w:noProof/>
                      <w:sz w:val="16"/>
                      <w:szCs w:val="16"/>
                    </w:rPr>
                    <w:t>19%</w:t>
                  </w:r>
                </w:p>
              </w:tc>
            </w:tr>
            <w:tr w:rsidR="00F062F7" w:rsidRPr="00D34532" w14:paraId="366289D5" w14:textId="77777777" w:rsidTr="00D34532">
              <w:tc>
                <w:tcPr>
                  <w:tcW w:w="636" w:type="dxa"/>
                  <w:shd w:val="clear" w:color="auto" w:fill="A6A6A6" w:themeFill="background1" w:themeFillShade="A6"/>
                </w:tcPr>
                <w:p w14:paraId="2ECE7251" w14:textId="4B8AFEF2" w:rsidR="00F570EF" w:rsidRPr="00D34532" w:rsidRDefault="00E74A64" w:rsidP="00102E9F">
                  <w:pPr>
                    <w:pStyle w:val="NoSpacing"/>
                    <w:rPr>
                      <w:noProof/>
                      <w:sz w:val="16"/>
                      <w:szCs w:val="16"/>
                    </w:rPr>
                  </w:pPr>
                  <w:r w:rsidRPr="00D34532">
                    <w:rPr>
                      <w:noProof/>
                      <w:sz w:val="16"/>
                      <w:szCs w:val="16"/>
                    </w:rPr>
                    <w:t xml:space="preserve">Maths </w:t>
                  </w:r>
                </w:p>
              </w:tc>
              <w:tc>
                <w:tcPr>
                  <w:tcW w:w="636" w:type="dxa"/>
                </w:tcPr>
                <w:p w14:paraId="41045522" w14:textId="2E20B9AF" w:rsidR="00F570EF" w:rsidRPr="00D34532" w:rsidRDefault="00D34532" w:rsidP="00102E9F">
                  <w:pPr>
                    <w:pStyle w:val="NoSpacing"/>
                    <w:rPr>
                      <w:noProof/>
                      <w:sz w:val="16"/>
                      <w:szCs w:val="16"/>
                    </w:rPr>
                  </w:pPr>
                  <w:r w:rsidRPr="00D34532">
                    <w:rPr>
                      <w:noProof/>
                      <w:sz w:val="16"/>
                      <w:szCs w:val="16"/>
                    </w:rPr>
                    <w:t>100%</w:t>
                  </w:r>
                </w:p>
              </w:tc>
              <w:tc>
                <w:tcPr>
                  <w:tcW w:w="636" w:type="dxa"/>
                </w:tcPr>
                <w:p w14:paraId="5E42CCAC" w14:textId="3A14348F" w:rsidR="00F570EF" w:rsidRPr="00D34532" w:rsidRDefault="006E0133" w:rsidP="00102E9F">
                  <w:pPr>
                    <w:pStyle w:val="NoSpacing"/>
                    <w:rPr>
                      <w:noProof/>
                      <w:sz w:val="16"/>
                      <w:szCs w:val="16"/>
                    </w:rPr>
                  </w:pPr>
                  <w:r w:rsidRPr="00D34532">
                    <w:rPr>
                      <w:noProof/>
                      <w:sz w:val="16"/>
                      <w:szCs w:val="16"/>
                    </w:rPr>
                    <w:t>4</w:t>
                  </w:r>
                  <w:r w:rsidR="00D34532" w:rsidRPr="00D34532">
                    <w:rPr>
                      <w:noProof/>
                      <w:sz w:val="16"/>
                      <w:szCs w:val="16"/>
                    </w:rPr>
                    <w:t>4%</w:t>
                  </w:r>
                </w:p>
              </w:tc>
              <w:tc>
                <w:tcPr>
                  <w:tcW w:w="636" w:type="dxa"/>
                </w:tcPr>
                <w:p w14:paraId="43B2BBB9" w14:textId="01205EAB" w:rsidR="00F570EF" w:rsidRPr="00D34532" w:rsidRDefault="00F062F7" w:rsidP="00102E9F">
                  <w:pPr>
                    <w:pStyle w:val="NoSpacing"/>
                    <w:rPr>
                      <w:noProof/>
                      <w:sz w:val="16"/>
                      <w:szCs w:val="16"/>
                    </w:rPr>
                  </w:pPr>
                  <w:r w:rsidRPr="00D34532">
                    <w:rPr>
                      <w:noProof/>
                      <w:sz w:val="16"/>
                      <w:szCs w:val="16"/>
                    </w:rPr>
                    <w:t>95%</w:t>
                  </w:r>
                </w:p>
              </w:tc>
              <w:tc>
                <w:tcPr>
                  <w:tcW w:w="636" w:type="dxa"/>
                </w:tcPr>
                <w:p w14:paraId="3AD88EDC" w14:textId="2AAFF535" w:rsidR="00F570EF" w:rsidRPr="00D34532" w:rsidRDefault="00F062F7" w:rsidP="00102E9F">
                  <w:pPr>
                    <w:pStyle w:val="NoSpacing"/>
                    <w:rPr>
                      <w:noProof/>
                      <w:sz w:val="16"/>
                      <w:szCs w:val="16"/>
                    </w:rPr>
                  </w:pPr>
                  <w:r w:rsidRPr="00D34532">
                    <w:rPr>
                      <w:noProof/>
                      <w:sz w:val="16"/>
                      <w:szCs w:val="16"/>
                    </w:rPr>
                    <w:t>21%</w:t>
                  </w:r>
                </w:p>
              </w:tc>
              <w:tc>
                <w:tcPr>
                  <w:tcW w:w="636" w:type="dxa"/>
                </w:tcPr>
                <w:p w14:paraId="20ED61EB" w14:textId="3E213A6B" w:rsidR="00F570EF" w:rsidRPr="00D34532" w:rsidRDefault="005D5D27" w:rsidP="00102E9F">
                  <w:pPr>
                    <w:pStyle w:val="NoSpacing"/>
                    <w:rPr>
                      <w:noProof/>
                      <w:sz w:val="16"/>
                      <w:szCs w:val="16"/>
                    </w:rPr>
                  </w:pPr>
                  <w:r w:rsidRPr="00D34532">
                    <w:rPr>
                      <w:noProof/>
                      <w:sz w:val="16"/>
                      <w:szCs w:val="16"/>
                    </w:rPr>
                    <w:t>94</w:t>
                  </w:r>
                  <w:r w:rsidR="00E37562" w:rsidRPr="00D34532">
                    <w:rPr>
                      <w:noProof/>
                      <w:sz w:val="16"/>
                      <w:szCs w:val="16"/>
                    </w:rPr>
                    <w:t>%</w:t>
                  </w:r>
                </w:p>
              </w:tc>
              <w:tc>
                <w:tcPr>
                  <w:tcW w:w="636" w:type="dxa"/>
                </w:tcPr>
                <w:p w14:paraId="4DD23F99" w14:textId="7DC44672" w:rsidR="00F570EF" w:rsidRPr="00D34532" w:rsidRDefault="00E37562" w:rsidP="00102E9F">
                  <w:pPr>
                    <w:pStyle w:val="NoSpacing"/>
                    <w:rPr>
                      <w:noProof/>
                      <w:sz w:val="16"/>
                      <w:szCs w:val="16"/>
                    </w:rPr>
                  </w:pPr>
                  <w:r w:rsidRPr="00D34532">
                    <w:rPr>
                      <w:noProof/>
                      <w:sz w:val="16"/>
                      <w:szCs w:val="16"/>
                    </w:rPr>
                    <w:t>35%</w:t>
                  </w:r>
                </w:p>
              </w:tc>
              <w:tc>
                <w:tcPr>
                  <w:tcW w:w="636" w:type="dxa"/>
                </w:tcPr>
                <w:p w14:paraId="15DEB883" w14:textId="73CD5787" w:rsidR="00F570EF" w:rsidRPr="00D34532" w:rsidRDefault="00C37DC3" w:rsidP="00102E9F">
                  <w:pPr>
                    <w:pStyle w:val="NoSpacing"/>
                    <w:rPr>
                      <w:noProof/>
                      <w:sz w:val="16"/>
                      <w:szCs w:val="16"/>
                    </w:rPr>
                  </w:pPr>
                  <w:r w:rsidRPr="00D34532">
                    <w:rPr>
                      <w:noProof/>
                      <w:sz w:val="16"/>
                      <w:szCs w:val="16"/>
                    </w:rPr>
                    <w:t>100</w:t>
                  </w:r>
                  <w:r w:rsidR="00DF2284" w:rsidRPr="00D34532">
                    <w:rPr>
                      <w:noProof/>
                      <w:sz w:val="16"/>
                      <w:szCs w:val="16"/>
                    </w:rPr>
                    <w:t>%</w:t>
                  </w:r>
                </w:p>
              </w:tc>
              <w:tc>
                <w:tcPr>
                  <w:tcW w:w="636" w:type="dxa"/>
                </w:tcPr>
                <w:p w14:paraId="1C592A98" w14:textId="3B81A4B7" w:rsidR="00F570EF" w:rsidRPr="00D34532" w:rsidRDefault="00DF2284" w:rsidP="00102E9F">
                  <w:pPr>
                    <w:pStyle w:val="NoSpacing"/>
                    <w:rPr>
                      <w:noProof/>
                      <w:sz w:val="16"/>
                      <w:szCs w:val="16"/>
                    </w:rPr>
                  </w:pPr>
                  <w:r w:rsidRPr="00D34532">
                    <w:rPr>
                      <w:noProof/>
                      <w:sz w:val="16"/>
                      <w:szCs w:val="16"/>
                    </w:rPr>
                    <w:t>29%</w:t>
                  </w:r>
                </w:p>
              </w:tc>
              <w:tc>
                <w:tcPr>
                  <w:tcW w:w="636" w:type="dxa"/>
                </w:tcPr>
                <w:p w14:paraId="23C3DB1E" w14:textId="0D3283B8" w:rsidR="00F570EF" w:rsidRPr="00D34532" w:rsidRDefault="00452D32" w:rsidP="00102E9F">
                  <w:pPr>
                    <w:pStyle w:val="NoSpacing"/>
                    <w:rPr>
                      <w:noProof/>
                      <w:sz w:val="16"/>
                      <w:szCs w:val="16"/>
                    </w:rPr>
                  </w:pPr>
                  <w:r w:rsidRPr="00D34532">
                    <w:rPr>
                      <w:noProof/>
                      <w:sz w:val="16"/>
                      <w:szCs w:val="16"/>
                    </w:rPr>
                    <w:t>94%</w:t>
                  </w:r>
                </w:p>
              </w:tc>
              <w:tc>
                <w:tcPr>
                  <w:tcW w:w="636" w:type="dxa"/>
                </w:tcPr>
                <w:p w14:paraId="2BB9D5D5" w14:textId="6C0705A9" w:rsidR="00F570EF" w:rsidRPr="00D34532" w:rsidRDefault="00486B04" w:rsidP="00102E9F">
                  <w:pPr>
                    <w:pStyle w:val="NoSpacing"/>
                    <w:rPr>
                      <w:noProof/>
                      <w:sz w:val="16"/>
                      <w:szCs w:val="16"/>
                    </w:rPr>
                  </w:pPr>
                  <w:r w:rsidRPr="00D34532">
                    <w:rPr>
                      <w:noProof/>
                      <w:sz w:val="16"/>
                      <w:szCs w:val="16"/>
                    </w:rPr>
                    <w:t>41%</w:t>
                  </w:r>
                </w:p>
              </w:tc>
              <w:tc>
                <w:tcPr>
                  <w:tcW w:w="637" w:type="dxa"/>
                </w:tcPr>
                <w:p w14:paraId="134D0E3E" w14:textId="70989503" w:rsidR="00F570EF" w:rsidRPr="00D34532" w:rsidRDefault="003F2DED" w:rsidP="00102E9F">
                  <w:pPr>
                    <w:pStyle w:val="NoSpacing"/>
                    <w:rPr>
                      <w:noProof/>
                      <w:sz w:val="16"/>
                      <w:szCs w:val="16"/>
                    </w:rPr>
                  </w:pPr>
                  <w:r w:rsidRPr="00D34532">
                    <w:rPr>
                      <w:noProof/>
                      <w:sz w:val="16"/>
                      <w:szCs w:val="16"/>
                    </w:rPr>
                    <w:t>94</w:t>
                  </w:r>
                  <w:r w:rsidR="00FC1895" w:rsidRPr="00D34532">
                    <w:rPr>
                      <w:noProof/>
                      <w:sz w:val="16"/>
                      <w:szCs w:val="16"/>
                    </w:rPr>
                    <w:t>%</w:t>
                  </w:r>
                </w:p>
              </w:tc>
              <w:tc>
                <w:tcPr>
                  <w:tcW w:w="637" w:type="dxa"/>
                </w:tcPr>
                <w:p w14:paraId="0E282D67" w14:textId="15D3F53D" w:rsidR="00F570EF" w:rsidRPr="00D34532" w:rsidRDefault="00FC1895" w:rsidP="00102E9F">
                  <w:pPr>
                    <w:pStyle w:val="NoSpacing"/>
                    <w:rPr>
                      <w:noProof/>
                      <w:sz w:val="16"/>
                      <w:szCs w:val="16"/>
                    </w:rPr>
                  </w:pPr>
                  <w:r w:rsidRPr="00D34532">
                    <w:rPr>
                      <w:noProof/>
                      <w:sz w:val="16"/>
                      <w:szCs w:val="16"/>
                    </w:rPr>
                    <w:t>31%</w:t>
                  </w:r>
                </w:p>
              </w:tc>
            </w:tr>
          </w:tbl>
          <w:p w14:paraId="6068BC48" w14:textId="5892B25E" w:rsidR="00F570EF" w:rsidRPr="00236B6E" w:rsidRDefault="00F570EF" w:rsidP="00102E9F">
            <w:pPr>
              <w:pStyle w:val="NoSpacing"/>
              <w:rPr>
                <w:noProof/>
                <w:sz w:val="20"/>
                <w:szCs w:val="20"/>
                <w:highlight w:val="yellow"/>
              </w:rPr>
            </w:pPr>
          </w:p>
        </w:tc>
      </w:tr>
      <w:tr w:rsidR="007D01D6" w14:paraId="0FF56114" w14:textId="77777777" w:rsidTr="00533110">
        <w:tc>
          <w:tcPr>
            <w:tcW w:w="2106" w:type="dxa"/>
          </w:tcPr>
          <w:p w14:paraId="78960D62" w14:textId="77777777" w:rsidR="00BD3AF0" w:rsidRDefault="00BD3AF0" w:rsidP="00BD3AF0">
            <w:pPr>
              <w:pStyle w:val="TableRow"/>
              <w:rPr>
                <w:sz w:val="22"/>
                <w:szCs w:val="22"/>
              </w:rPr>
            </w:pPr>
            <w:r>
              <w:rPr>
                <w:sz w:val="22"/>
                <w:szCs w:val="22"/>
              </w:rPr>
              <w:t>To sustain attendance of pupil premium pupils to ensure it is in line with the national average.</w:t>
            </w:r>
          </w:p>
          <w:p w14:paraId="2F8C625D" w14:textId="77777777" w:rsidR="00BD3AF0" w:rsidRDefault="00BD3AF0" w:rsidP="00BD3AF0">
            <w:pPr>
              <w:pStyle w:val="TableRow"/>
              <w:rPr>
                <w:sz w:val="22"/>
                <w:szCs w:val="22"/>
              </w:rPr>
            </w:pPr>
          </w:p>
          <w:p w14:paraId="37A643B5" w14:textId="77777777" w:rsidR="00BD3AF0" w:rsidRDefault="00BD3AF0" w:rsidP="00BD3AF0">
            <w:pPr>
              <w:pStyle w:val="TableRow"/>
              <w:rPr>
                <w:sz w:val="22"/>
                <w:szCs w:val="22"/>
              </w:rPr>
            </w:pPr>
            <w:r>
              <w:rPr>
                <w:sz w:val="22"/>
                <w:szCs w:val="22"/>
              </w:rPr>
              <w:t>To ensure persistent absence percentages for pupil premium pupils is less than the national average.</w:t>
            </w:r>
          </w:p>
          <w:p w14:paraId="0726E541" w14:textId="509ED674" w:rsidR="00BD3AF0" w:rsidRPr="0041583B" w:rsidRDefault="00BD3AF0" w:rsidP="00BD3AF0">
            <w:pPr>
              <w:pStyle w:val="TableRow"/>
              <w:ind w:left="317"/>
              <w:rPr>
                <w:sz w:val="20"/>
                <w:szCs w:val="20"/>
              </w:rPr>
            </w:pPr>
          </w:p>
        </w:tc>
        <w:tc>
          <w:tcPr>
            <w:tcW w:w="3958" w:type="dxa"/>
          </w:tcPr>
          <w:p w14:paraId="2409249A" w14:textId="32AE9320" w:rsidR="00BD3AF0" w:rsidRPr="00784BE0" w:rsidRDefault="00BD3AF0" w:rsidP="00BD3AF0">
            <w:pPr>
              <w:pStyle w:val="ListParagraph"/>
              <w:numPr>
                <w:ilvl w:val="0"/>
                <w:numId w:val="24"/>
              </w:numPr>
              <w:ind w:left="172" w:hanging="142"/>
              <w:rPr>
                <w:sz w:val="20"/>
                <w:szCs w:val="20"/>
              </w:rPr>
            </w:pPr>
            <w:r w:rsidRPr="00784BE0">
              <w:rPr>
                <w:sz w:val="20"/>
                <w:szCs w:val="20"/>
              </w:rPr>
              <w:t>Continue to enhance the robust systems and procedures for attendance</w:t>
            </w:r>
          </w:p>
          <w:p w14:paraId="0563990D" w14:textId="77777777" w:rsidR="00BD3AF0" w:rsidRPr="00784BE0" w:rsidRDefault="00BD3AF0" w:rsidP="00BD3AF0">
            <w:pPr>
              <w:pStyle w:val="ListParagraph"/>
              <w:numPr>
                <w:ilvl w:val="0"/>
                <w:numId w:val="24"/>
              </w:numPr>
              <w:ind w:left="172" w:hanging="142"/>
              <w:rPr>
                <w:sz w:val="20"/>
                <w:szCs w:val="20"/>
              </w:rPr>
            </w:pPr>
            <w:r w:rsidRPr="00784BE0">
              <w:rPr>
                <w:sz w:val="20"/>
                <w:szCs w:val="20"/>
              </w:rPr>
              <w:t xml:space="preserve">Continue to establish with </w:t>
            </w:r>
            <w:proofErr w:type="gramStart"/>
            <w:r w:rsidRPr="00784BE0">
              <w:rPr>
                <w:sz w:val="20"/>
                <w:szCs w:val="20"/>
              </w:rPr>
              <w:t>parents</w:t>
            </w:r>
            <w:proofErr w:type="gramEnd"/>
            <w:r w:rsidRPr="00784BE0">
              <w:rPr>
                <w:sz w:val="20"/>
                <w:szCs w:val="20"/>
              </w:rPr>
              <w:t xml:space="preserve"> good attendance habits</w:t>
            </w:r>
          </w:p>
          <w:p w14:paraId="5D402BD6" w14:textId="77777777" w:rsidR="00BD3AF0" w:rsidRPr="00784BE0" w:rsidRDefault="00BD3AF0" w:rsidP="00BD3AF0">
            <w:pPr>
              <w:pStyle w:val="ListParagraph"/>
              <w:numPr>
                <w:ilvl w:val="0"/>
                <w:numId w:val="24"/>
              </w:numPr>
              <w:ind w:left="172" w:hanging="142"/>
              <w:rPr>
                <w:sz w:val="20"/>
                <w:szCs w:val="20"/>
              </w:rPr>
            </w:pPr>
            <w:r w:rsidRPr="00784BE0">
              <w:rPr>
                <w:sz w:val="20"/>
                <w:szCs w:val="20"/>
              </w:rPr>
              <w:t>Attendance section in newsletter and at least once per half term on Class Dojo.</w:t>
            </w:r>
          </w:p>
          <w:p w14:paraId="2DA12AC6" w14:textId="77777777" w:rsidR="00BD3AF0" w:rsidRPr="00784BE0" w:rsidRDefault="00BD3AF0" w:rsidP="00BD3AF0">
            <w:pPr>
              <w:pStyle w:val="ListParagraph"/>
              <w:numPr>
                <w:ilvl w:val="0"/>
                <w:numId w:val="24"/>
              </w:numPr>
              <w:ind w:left="172" w:hanging="142"/>
              <w:rPr>
                <w:sz w:val="20"/>
                <w:szCs w:val="20"/>
              </w:rPr>
            </w:pPr>
            <w:r w:rsidRPr="00784BE0">
              <w:rPr>
                <w:sz w:val="20"/>
                <w:szCs w:val="20"/>
              </w:rPr>
              <w:t>Rewards for attendance given termly to individual pupils.</w:t>
            </w:r>
          </w:p>
          <w:p w14:paraId="5C69FBB5" w14:textId="7430321B" w:rsidR="00BD3AF0" w:rsidRPr="00784BE0" w:rsidRDefault="00BD3AF0" w:rsidP="00BD3AF0">
            <w:pPr>
              <w:pStyle w:val="ListParagraph"/>
              <w:numPr>
                <w:ilvl w:val="0"/>
                <w:numId w:val="24"/>
              </w:numPr>
              <w:ind w:left="172" w:hanging="142"/>
              <w:rPr>
                <w:sz w:val="20"/>
                <w:szCs w:val="20"/>
              </w:rPr>
            </w:pPr>
            <w:r w:rsidRPr="00784BE0">
              <w:rPr>
                <w:sz w:val="20"/>
                <w:szCs w:val="20"/>
              </w:rPr>
              <w:t>Reward for attendance given to highest attending class each week in achievement assembly.</w:t>
            </w:r>
          </w:p>
          <w:p w14:paraId="7C1B31C1" w14:textId="77777777" w:rsidR="00BD3AF0" w:rsidRPr="00784BE0" w:rsidRDefault="00BD3AF0" w:rsidP="00BD3AF0">
            <w:pPr>
              <w:pStyle w:val="ListParagraph"/>
              <w:numPr>
                <w:ilvl w:val="0"/>
                <w:numId w:val="24"/>
              </w:numPr>
              <w:ind w:left="172" w:hanging="142"/>
              <w:rPr>
                <w:sz w:val="20"/>
                <w:szCs w:val="20"/>
              </w:rPr>
            </w:pPr>
            <w:r w:rsidRPr="00784BE0">
              <w:rPr>
                <w:sz w:val="20"/>
                <w:szCs w:val="20"/>
              </w:rPr>
              <w:t>Support from the attendance officer to raise standards of attendance for pupil premium pupils by working with families to remove barriers to attending.</w:t>
            </w:r>
          </w:p>
          <w:p w14:paraId="7A3593B3" w14:textId="2ACCEFC7" w:rsidR="00BD3AF0" w:rsidRPr="00784BE0" w:rsidRDefault="00BD3AF0" w:rsidP="00BD3AF0">
            <w:pPr>
              <w:pStyle w:val="ListParagraph"/>
              <w:numPr>
                <w:ilvl w:val="0"/>
                <w:numId w:val="24"/>
              </w:numPr>
              <w:ind w:left="172" w:hanging="142"/>
              <w:rPr>
                <w:sz w:val="20"/>
                <w:szCs w:val="20"/>
              </w:rPr>
            </w:pPr>
            <w:r w:rsidRPr="00784BE0">
              <w:rPr>
                <w:sz w:val="20"/>
                <w:szCs w:val="20"/>
              </w:rPr>
              <w:t xml:space="preserve">Support from LEAD and Nottingham City attendance officer for </w:t>
            </w:r>
            <w:proofErr w:type="gramStart"/>
            <w:r w:rsidRPr="00784BE0">
              <w:rPr>
                <w:sz w:val="20"/>
                <w:szCs w:val="20"/>
              </w:rPr>
              <w:t>particular families</w:t>
            </w:r>
            <w:proofErr w:type="gramEnd"/>
          </w:p>
        </w:tc>
        <w:tc>
          <w:tcPr>
            <w:tcW w:w="8496" w:type="dxa"/>
          </w:tcPr>
          <w:p w14:paraId="1A348C3B" w14:textId="3B38F3EF" w:rsidR="00567A76" w:rsidRDefault="00787B99" w:rsidP="00BD3AF0">
            <w:pPr>
              <w:pStyle w:val="NoSpacing"/>
              <w:rPr>
                <w:noProof/>
                <w:sz w:val="20"/>
                <w:szCs w:val="20"/>
              </w:rPr>
            </w:pPr>
            <w:r w:rsidRPr="007D6AF2">
              <w:rPr>
                <w:noProof/>
                <w:sz w:val="20"/>
                <w:szCs w:val="20"/>
              </w:rPr>
              <w:t>P</w:t>
            </w:r>
            <w:r w:rsidR="00BD3AF0" w:rsidRPr="007D6AF2">
              <w:rPr>
                <w:noProof/>
                <w:sz w:val="20"/>
                <w:szCs w:val="20"/>
              </w:rPr>
              <w:t>upil premium pupils and non-pupil premium pupils</w:t>
            </w:r>
            <w:r w:rsidRPr="007D6AF2">
              <w:rPr>
                <w:noProof/>
                <w:sz w:val="20"/>
                <w:szCs w:val="20"/>
              </w:rPr>
              <w:t xml:space="preserve"> are</w:t>
            </w:r>
            <w:r w:rsidR="00567A76" w:rsidRPr="007D6AF2">
              <w:rPr>
                <w:noProof/>
                <w:sz w:val="20"/>
                <w:szCs w:val="20"/>
              </w:rPr>
              <w:t xml:space="preserve"> broadly in line</w:t>
            </w:r>
            <w:r w:rsidR="009E251D" w:rsidRPr="007D6AF2">
              <w:rPr>
                <w:noProof/>
                <w:sz w:val="20"/>
                <w:szCs w:val="20"/>
              </w:rPr>
              <w:t xml:space="preserve"> </w:t>
            </w:r>
            <w:r w:rsidRPr="007D6AF2">
              <w:rPr>
                <w:noProof/>
                <w:sz w:val="20"/>
                <w:szCs w:val="20"/>
              </w:rPr>
              <w:t>for attendance</w:t>
            </w:r>
            <w:r w:rsidR="00DA03F6" w:rsidRPr="007D6AF2">
              <w:rPr>
                <w:noProof/>
                <w:sz w:val="20"/>
                <w:szCs w:val="20"/>
              </w:rPr>
              <w:t xml:space="preserve"> and persistent absence</w:t>
            </w:r>
            <w:r w:rsidR="00D14249" w:rsidRPr="007D6AF2">
              <w:rPr>
                <w:noProof/>
                <w:sz w:val="20"/>
                <w:szCs w:val="20"/>
              </w:rPr>
              <w:t>.</w:t>
            </w:r>
          </w:p>
          <w:p w14:paraId="2F28F09F" w14:textId="77777777" w:rsidR="00E2692E" w:rsidRDefault="00E2692E" w:rsidP="00BD3AF0">
            <w:pPr>
              <w:pStyle w:val="NoSpacing"/>
              <w:rPr>
                <w:noProof/>
                <w:sz w:val="20"/>
                <w:szCs w:val="20"/>
              </w:rPr>
            </w:pPr>
          </w:p>
          <w:p w14:paraId="287652ED" w14:textId="77777777" w:rsidR="00E2692E" w:rsidRPr="00E2692E" w:rsidRDefault="00E2692E" w:rsidP="00E2692E">
            <w:pPr>
              <w:pStyle w:val="NoSpacing"/>
              <w:rPr>
                <w:noProof/>
                <w:sz w:val="20"/>
                <w:szCs w:val="20"/>
              </w:rPr>
            </w:pPr>
            <w:r w:rsidRPr="00E2692E">
              <w:rPr>
                <w:noProof/>
                <w:sz w:val="20"/>
                <w:szCs w:val="20"/>
              </w:rPr>
              <w:t>Clear and robust tracking system in place for pupils who are below 96% attendance.</w:t>
            </w:r>
          </w:p>
          <w:p w14:paraId="59CC163E" w14:textId="15CFAC70" w:rsidR="00BD3AF0" w:rsidRPr="007D6AF2" w:rsidRDefault="00696F84" w:rsidP="00BD3AF0">
            <w:pPr>
              <w:pStyle w:val="NoSpacing"/>
              <w:rPr>
                <w:noProof/>
                <w:sz w:val="20"/>
                <w:szCs w:val="20"/>
              </w:rPr>
            </w:pPr>
            <w:r w:rsidRPr="007D6AF2">
              <w:rPr>
                <w:noProof/>
                <w:sz w:val="20"/>
                <w:szCs w:val="20"/>
              </w:rPr>
              <w:t xml:space="preserve">Key </w:t>
            </w:r>
            <w:r w:rsidR="008D6AB7" w:rsidRPr="007D6AF2">
              <w:rPr>
                <w:noProof/>
                <w:sz w:val="20"/>
                <w:szCs w:val="20"/>
              </w:rPr>
              <w:t xml:space="preserve">pupils </w:t>
            </w:r>
            <w:r w:rsidR="007D6AF2" w:rsidRPr="007D6AF2">
              <w:rPr>
                <w:noProof/>
                <w:sz w:val="20"/>
                <w:szCs w:val="20"/>
              </w:rPr>
              <w:t>targeted by the attendance officer</w:t>
            </w:r>
            <w:r w:rsidR="00E2692E">
              <w:rPr>
                <w:noProof/>
                <w:sz w:val="20"/>
                <w:szCs w:val="20"/>
              </w:rPr>
              <w:t xml:space="preserve"> through </w:t>
            </w:r>
            <w:r w:rsidR="0078356E">
              <w:rPr>
                <w:noProof/>
                <w:sz w:val="20"/>
                <w:szCs w:val="20"/>
              </w:rPr>
              <w:t>parent meetings, letters,</w:t>
            </w:r>
            <w:r w:rsidR="00816377">
              <w:rPr>
                <w:noProof/>
                <w:sz w:val="20"/>
                <w:szCs w:val="20"/>
              </w:rPr>
              <w:t xml:space="preserve"> </w:t>
            </w:r>
            <w:r w:rsidR="000472A4">
              <w:rPr>
                <w:noProof/>
                <w:sz w:val="20"/>
                <w:szCs w:val="20"/>
              </w:rPr>
              <w:t>attendance reward systems.</w:t>
            </w:r>
          </w:p>
          <w:p w14:paraId="25AB9936" w14:textId="68A44FC0" w:rsidR="00BD3AF0" w:rsidRDefault="00BD3AF0" w:rsidP="00BD3AF0">
            <w:pPr>
              <w:pStyle w:val="NoSpacing"/>
              <w:rPr>
                <w:noProof/>
                <w:sz w:val="20"/>
                <w:szCs w:val="20"/>
                <w:highlight w:val="yellow"/>
              </w:rPr>
            </w:pPr>
          </w:p>
          <w:p w14:paraId="3FBBBA95" w14:textId="77777777" w:rsidR="00980642" w:rsidRDefault="00980642" w:rsidP="00BD3AF0">
            <w:pPr>
              <w:pStyle w:val="NoSpacing"/>
              <w:rPr>
                <w:noProof/>
                <w:sz w:val="20"/>
                <w:szCs w:val="20"/>
                <w:highlight w:val="yellow"/>
              </w:rPr>
            </w:pPr>
          </w:p>
          <w:p w14:paraId="1813A221" w14:textId="77777777" w:rsidR="00980642" w:rsidRDefault="00980642" w:rsidP="00BD3AF0">
            <w:pPr>
              <w:pStyle w:val="NoSpacing"/>
              <w:rPr>
                <w:noProof/>
                <w:sz w:val="20"/>
                <w:szCs w:val="20"/>
                <w:highlight w:val="yellow"/>
              </w:rPr>
            </w:pPr>
          </w:p>
          <w:p w14:paraId="5787962C" w14:textId="77777777" w:rsidR="00980642" w:rsidRDefault="00980642" w:rsidP="00BD3AF0">
            <w:pPr>
              <w:pStyle w:val="NoSpacing"/>
              <w:rPr>
                <w:noProof/>
                <w:sz w:val="20"/>
                <w:szCs w:val="20"/>
                <w:highlight w:val="yellow"/>
              </w:rPr>
            </w:pPr>
          </w:p>
          <w:p w14:paraId="11520209" w14:textId="77777777" w:rsidR="00980642" w:rsidRDefault="00980642" w:rsidP="00BD3AF0">
            <w:pPr>
              <w:pStyle w:val="NoSpacing"/>
              <w:rPr>
                <w:noProof/>
                <w:sz w:val="20"/>
                <w:szCs w:val="20"/>
                <w:highlight w:val="yellow"/>
              </w:rPr>
            </w:pPr>
          </w:p>
          <w:p w14:paraId="276AE4C0" w14:textId="77777777" w:rsidR="00980642" w:rsidRDefault="00980642" w:rsidP="00BD3AF0">
            <w:pPr>
              <w:pStyle w:val="NoSpacing"/>
              <w:rPr>
                <w:noProof/>
                <w:sz w:val="20"/>
                <w:szCs w:val="20"/>
                <w:highlight w:val="yellow"/>
              </w:rPr>
            </w:pPr>
          </w:p>
          <w:p w14:paraId="1E798C69" w14:textId="77777777" w:rsidR="00980642" w:rsidRPr="00236B6E" w:rsidRDefault="00980642" w:rsidP="00BD3AF0">
            <w:pPr>
              <w:pStyle w:val="NoSpacing"/>
              <w:rPr>
                <w:noProof/>
                <w:sz w:val="20"/>
                <w:szCs w:val="20"/>
                <w:highlight w:val="yellow"/>
              </w:rPr>
            </w:pPr>
          </w:p>
          <w:p w14:paraId="742B01F9" w14:textId="4EE9A3F5" w:rsidR="00BD3AF0" w:rsidRPr="00261600" w:rsidRDefault="000472A4" w:rsidP="00BD3AF0">
            <w:pPr>
              <w:pStyle w:val="NoSpacing"/>
              <w:rPr>
                <w:b/>
                <w:bCs/>
                <w:noProof/>
                <w:sz w:val="20"/>
                <w:szCs w:val="20"/>
              </w:rPr>
            </w:pPr>
            <w:r w:rsidRPr="00261600">
              <w:rPr>
                <w:b/>
                <w:bCs/>
                <w:noProof/>
                <w:color w:val="auto"/>
                <w:sz w:val="20"/>
                <w:szCs w:val="20"/>
              </w:rPr>
              <w:t>Attendance</w:t>
            </w:r>
            <w:r w:rsidRPr="00261600">
              <w:rPr>
                <w:b/>
                <w:bCs/>
                <w:noProof/>
                <w:sz w:val="20"/>
                <w:szCs w:val="20"/>
              </w:rPr>
              <w:t xml:space="preserve"> </w:t>
            </w:r>
          </w:p>
          <w:tbl>
            <w:tblPr>
              <w:tblStyle w:val="TableGrid"/>
              <w:tblW w:w="0" w:type="auto"/>
              <w:tblLook w:val="04A0" w:firstRow="1" w:lastRow="0" w:firstColumn="1" w:lastColumn="0" w:noHBand="0" w:noVBand="1"/>
            </w:tblPr>
            <w:tblGrid>
              <w:gridCol w:w="898"/>
              <w:gridCol w:w="784"/>
              <w:gridCol w:w="896"/>
              <w:gridCol w:w="1082"/>
            </w:tblGrid>
            <w:tr w:rsidR="00221B9C" w14:paraId="3B465ED9" w14:textId="77777777" w:rsidTr="009869AA">
              <w:tc>
                <w:tcPr>
                  <w:tcW w:w="640" w:type="dxa"/>
                  <w:shd w:val="clear" w:color="auto" w:fill="D9D9D9" w:themeFill="background1" w:themeFillShade="D9"/>
                </w:tcPr>
                <w:p w14:paraId="498FF7EA" w14:textId="1B2DB458" w:rsidR="00221B9C" w:rsidRPr="00AF4B3F" w:rsidRDefault="00221B9C" w:rsidP="00AF4B3F">
                  <w:pPr>
                    <w:pStyle w:val="NoSpacing"/>
                    <w:jc w:val="center"/>
                    <w:rPr>
                      <w:rFonts w:asciiTheme="minorHAnsi" w:hAnsiTheme="minorHAnsi" w:cstheme="minorHAnsi"/>
                      <w:b/>
                      <w:bCs/>
                      <w:noProof/>
                      <w:sz w:val="20"/>
                      <w:szCs w:val="20"/>
                    </w:rPr>
                  </w:pPr>
                  <w:r w:rsidRPr="00AF4B3F">
                    <w:rPr>
                      <w:rFonts w:asciiTheme="minorHAnsi" w:hAnsiTheme="minorHAnsi" w:cstheme="minorHAnsi"/>
                      <w:b/>
                      <w:bCs/>
                      <w:noProof/>
                      <w:sz w:val="20"/>
                      <w:szCs w:val="20"/>
                    </w:rPr>
                    <w:t>Year</w:t>
                  </w:r>
                </w:p>
              </w:tc>
              <w:tc>
                <w:tcPr>
                  <w:tcW w:w="784" w:type="dxa"/>
                  <w:shd w:val="clear" w:color="auto" w:fill="D9D9D9" w:themeFill="background1" w:themeFillShade="D9"/>
                </w:tcPr>
                <w:p w14:paraId="33269943" w14:textId="3016E2E2" w:rsidR="00221B9C" w:rsidRPr="00334EDB" w:rsidRDefault="00221B9C" w:rsidP="00AF4B3F">
                  <w:pPr>
                    <w:pStyle w:val="NoSpacing"/>
                    <w:jc w:val="center"/>
                    <w:rPr>
                      <w:rFonts w:asciiTheme="minorHAnsi" w:hAnsiTheme="minorHAnsi" w:cstheme="minorHAnsi"/>
                      <w:b/>
                      <w:bCs/>
                      <w:noProof/>
                      <w:sz w:val="20"/>
                      <w:szCs w:val="20"/>
                    </w:rPr>
                  </w:pPr>
                  <w:r w:rsidRPr="00334EDB">
                    <w:rPr>
                      <w:rFonts w:asciiTheme="minorHAnsi" w:hAnsiTheme="minorHAnsi" w:cstheme="minorHAnsi"/>
                      <w:b/>
                      <w:bCs/>
                      <w:noProof/>
                      <w:sz w:val="20"/>
                      <w:szCs w:val="20"/>
                    </w:rPr>
                    <w:t>PP</w:t>
                  </w:r>
                </w:p>
              </w:tc>
              <w:tc>
                <w:tcPr>
                  <w:tcW w:w="896" w:type="dxa"/>
                  <w:shd w:val="clear" w:color="auto" w:fill="D9D9D9" w:themeFill="background1" w:themeFillShade="D9"/>
                </w:tcPr>
                <w:p w14:paraId="6AD25D3A" w14:textId="5697B3C5" w:rsidR="00221B9C" w:rsidRPr="00334EDB" w:rsidRDefault="00221B9C" w:rsidP="00AF4B3F">
                  <w:pPr>
                    <w:pStyle w:val="NoSpacing"/>
                    <w:jc w:val="center"/>
                    <w:rPr>
                      <w:rFonts w:asciiTheme="minorHAnsi" w:hAnsiTheme="minorHAnsi" w:cstheme="minorHAnsi"/>
                      <w:b/>
                      <w:bCs/>
                      <w:noProof/>
                      <w:sz w:val="20"/>
                      <w:szCs w:val="20"/>
                    </w:rPr>
                  </w:pPr>
                  <w:r w:rsidRPr="00334EDB">
                    <w:rPr>
                      <w:rFonts w:asciiTheme="minorHAnsi" w:hAnsiTheme="minorHAnsi" w:cstheme="minorHAnsi"/>
                      <w:b/>
                      <w:bCs/>
                      <w:noProof/>
                      <w:sz w:val="20"/>
                      <w:szCs w:val="20"/>
                    </w:rPr>
                    <w:t>Non PP</w:t>
                  </w:r>
                </w:p>
              </w:tc>
              <w:tc>
                <w:tcPr>
                  <w:tcW w:w="993" w:type="dxa"/>
                  <w:shd w:val="clear" w:color="auto" w:fill="D9D9D9" w:themeFill="background1" w:themeFillShade="D9"/>
                </w:tcPr>
                <w:p w14:paraId="234F7BA0" w14:textId="05C28ECD" w:rsidR="00221B9C" w:rsidRPr="00334EDB" w:rsidRDefault="00AF4B3F" w:rsidP="00AF4B3F">
                  <w:pPr>
                    <w:pStyle w:val="NoSpacing"/>
                    <w:jc w:val="center"/>
                    <w:rPr>
                      <w:rFonts w:asciiTheme="minorHAnsi" w:hAnsiTheme="minorHAnsi" w:cstheme="minorHAnsi"/>
                      <w:b/>
                      <w:bCs/>
                      <w:noProof/>
                      <w:sz w:val="20"/>
                      <w:szCs w:val="20"/>
                    </w:rPr>
                  </w:pPr>
                  <w:r w:rsidRPr="00334EDB">
                    <w:rPr>
                      <w:rFonts w:asciiTheme="minorHAnsi" w:hAnsiTheme="minorHAnsi" w:cstheme="minorHAnsi"/>
                      <w:b/>
                      <w:bCs/>
                      <w:noProof/>
                      <w:sz w:val="20"/>
                      <w:szCs w:val="20"/>
                    </w:rPr>
                    <w:t>Difference</w:t>
                  </w:r>
                </w:p>
              </w:tc>
            </w:tr>
            <w:tr w:rsidR="00221B9C" w14:paraId="70289EC4" w14:textId="77777777" w:rsidTr="009869AA">
              <w:tc>
                <w:tcPr>
                  <w:tcW w:w="640" w:type="dxa"/>
                  <w:shd w:val="clear" w:color="auto" w:fill="D9D9D9" w:themeFill="background1" w:themeFillShade="D9"/>
                </w:tcPr>
                <w:p w14:paraId="15B18DBE" w14:textId="14D875FE" w:rsidR="00221B9C" w:rsidRPr="00AF4B3F" w:rsidRDefault="00221B9C" w:rsidP="00AF4B3F">
                  <w:pPr>
                    <w:pStyle w:val="NoSpacing"/>
                    <w:jc w:val="center"/>
                    <w:rPr>
                      <w:rFonts w:asciiTheme="minorHAnsi" w:hAnsiTheme="minorHAnsi" w:cstheme="minorHAnsi"/>
                      <w:b/>
                      <w:bCs/>
                      <w:noProof/>
                      <w:sz w:val="20"/>
                      <w:szCs w:val="20"/>
                    </w:rPr>
                  </w:pPr>
                  <w:r w:rsidRPr="00AF4B3F">
                    <w:rPr>
                      <w:rFonts w:asciiTheme="minorHAnsi" w:hAnsiTheme="minorHAnsi" w:cstheme="minorHAnsi"/>
                      <w:b/>
                      <w:bCs/>
                      <w:noProof/>
                      <w:sz w:val="20"/>
                      <w:szCs w:val="20"/>
                    </w:rPr>
                    <w:t>1</w:t>
                  </w:r>
                </w:p>
              </w:tc>
              <w:tc>
                <w:tcPr>
                  <w:tcW w:w="784" w:type="dxa"/>
                </w:tcPr>
                <w:p w14:paraId="57975C82" w14:textId="1B3B21E2" w:rsidR="00221B9C" w:rsidRPr="00AF4B3F" w:rsidRDefault="007B2DC7" w:rsidP="00AF4B3F">
                  <w:pPr>
                    <w:pStyle w:val="NoSpacing"/>
                    <w:jc w:val="center"/>
                    <w:rPr>
                      <w:rFonts w:asciiTheme="minorHAnsi" w:hAnsiTheme="minorHAnsi" w:cstheme="minorHAnsi"/>
                      <w:noProof/>
                      <w:sz w:val="20"/>
                      <w:szCs w:val="20"/>
                    </w:rPr>
                  </w:pPr>
                  <w:r w:rsidRPr="00AF4B3F">
                    <w:rPr>
                      <w:rFonts w:asciiTheme="minorHAnsi" w:hAnsiTheme="minorHAnsi" w:cstheme="minorHAnsi"/>
                      <w:noProof/>
                      <w:sz w:val="20"/>
                      <w:szCs w:val="20"/>
                    </w:rPr>
                    <w:t>96.2%</w:t>
                  </w:r>
                </w:p>
              </w:tc>
              <w:tc>
                <w:tcPr>
                  <w:tcW w:w="896" w:type="dxa"/>
                </w:tcPr>
                <w:p w14:paraId="64C4C0B0" w14:textId="7FC97440" w:rsidR="00221B9C" w:rsidRPr="00AF4B3F" w:rsidRDefault="001F117F" w:rsidP="00AF4B3F">
                  <w:pPr>
                    <w:pStyle w:val="NoSpacing"/>
                    <w:jc w:val="center"/>
                    <w:rPr>
                      <w:rFonts w:asciiTheme="minorHAnsi" w:hAnsiTheme="minorHAnsi" w:cstheme="minorHAnsi"/>
                      <w:noProof/>
                      <w:sz w:val="20"/>
                      <w:szCs w:val="20"/>
                    </w:rPr>
                  </w:pPr>
                  <w:r w:rsidRPr="00AF4B3F">
                    <w:rPr>
                      <w:rFonts w:asciiTheme="minorHAnsi" w:hAnsiTheme="minorHAnsi" w:cstheme="minorHAnsi"/>
                      <w:noProof/>
                      <w:sz w:val="20"/>
                      <w:szCs w:val="20"/>
                    </w:rPr>
                    <w:t>93.8%</w:t>
                  </w:r>
                </w:p>
              </w:tc>
              <w:tc>
                <w:tcPr>
                  <w:tcW w:w="993" w:type="dxa"/>
                </w:tcPr>
                <w:p w14:paraId="6B211B7E" w14:textId="3D710AF6" w:rsidR="00221B9C" w:rsidRPr="00334EDB" w:rsidRDefault="003F6A21" w:rsidP="00AF4B3F">
                  <w:pPr>
                    <w:pStyle w:val="NoSpacing"/>
                    <w:jc w:val="center"/>
                    <w:rPr>
                      <w:rFonts w:asciiTheme="minorHAnsi" w:hAnsiTheme="minorHAnsi" w:cstheme="minorHAnsi"/>
                      <w:noProof/>
                      <w:sz w:val="20"/>
                      <w:szCs w:val="20"/>
                    </w:rPr>
                  </w:pPr>
                  <w:r w:rsidRPr="00334EDB">
                    <w:rPr>
                      <w:rFonts w:asciiTheme="minorHAnsi" w:hAnsiTheme="minorHAnsi" w:cstheme="minorHAnsi"/>
                      <w:noProof/>
                      <w:color w:val="00B050"/>
                      <w:sz w:val="20"/>
                      <w:szCs w:val="20"/>
                    </w:rPr>
                    <w:t>+2.4</w:t>
                  </w:r>
                </w:p>
              </w:tc>
            </w:tr>
            <w:tr w:rsidR="00221B9C" w14:paraId="23263264" w14:textId="77777777" w:rsidTr="009869AA">
              <w:tc>
                <w:tcPr>
                  <w:tcW w:w="640" w:type="dxa"/>
                  <w:shd w:val="clear" w:color="auto" w:fill="D9D9D9" w:themeFill="background1" w:themeFillShade="D9"/>
                </w:tcPr>
                <w:p w14:paraId="615FB7EB" w14:textId="4F335A8D" w:rsidR="00221B9C" w:rsidRPr="00AF4B3F" w:rsidRDefault="00221B9C" w:rsidP="00AF4B3F">
                  <w:pPr>
                    <w:pStyle w:val="NoSpacing"/>
                    <w:jc w:val="center"/>
                    <w:rPr>
                      <w:rFonts w:asciiTheme="minorHAnsi" w:hAnsiTheme="minorHAnsi" w:cstheme="minorHAnsi"/>
                      <w:b/>
                      <w:bCs/>
                      <w:noProof/>
                      <w:sz w:val="20"/>
                      <w:szCs w:val="20"/>
                    </w:rPr>
                  </w:pPr>
                  <w:r w:rsidRPr="00AF4B3F">
                    <w:rPr>
                      <w:rFonts w:asciiTheme="minorHAnsi" w:hAnsiTheme="minorHAnsi" w:cstheme="minorHAnsi"/>
                      <w:b/>
                      <w:bCs/>
                      <w:noProof/>
                      <w:sz w:val="20"/>
                      <w:szCs w:val="20"/>
                    </w:rPr>
                    <w:t>2</w:t>
                  </w:r>
                </w:p>
              </w:tc>
              <w:tc>
                <w:tcPr>
                  <w:tcW w:w="784" w:type="dxa"/>
                </w:tcPr>
                <w:p w14:paraId="301F8FCF" w14:textId="469BAEE1" w:rsidR="00221B9C" w:rsidRPr="00AF4B3F" w:rsidRDefault="003B1520" w:rsidP="00AF4B3F">
                  <w:pPr>
                    <w:pStyle w:val="NoSpacing"/>
                    <w:jc w:val="center"/>
                    <w:rPr>
                      <w:rFonts w:asciiTheme="minorHAnsi" w:hAnsiTheme="minorHAnsi" w:cstheme="minorHAnsi"/>
                      <w:noProof/>
                      <w:sz w:val="20"/>
                      <w:szCs w:val="20"/>
                    </w:rPr>
                  </w:pPr>
                  <w:r w:rsidRPr="00AF4B3F">
                    <w:rPr>
                      <w:rFonts w:asciiTheme="minorHAnsi" w:hAnsiTheme="minorHAnsi" w:cstheme="minorHAnsi"/>
                      <w:noProof/>
                      <w:sz w:val="20"/>
                      <w:szCs w:val="20"/>
                    </w:rPr>
                    <w:t>95.3%</w:t>
                  </w:r>
                </w:p>
              </w:tc>
              <w:tc>
                <w:tcPr>
                  <w:tcW w:w="896" w:type="dxa"/>
                </w:tcPr>
                <w:p w14:paraId="45DCBF15" w14:textId="2BFF8D5C" w:rsidR="00221B9C" w:rsidRPr="00AF4B3F" w:rsidRDefault="001F117F" w:rsidP="00AF4B3F">
                  <w:pPr>
                    <w:pStyle w:val="NoSpacing"/>
                    <w:jc w:val="center"/>
                    <w:rPr>
                      <w:rFonts w:asciiTheme="minorHAnsi" w:hAnsiTheme="minorHAnsi" w:cstheme="minorHAnsi"/>
                      <w:noProof/>
                      <w:sz w:val="20"/>
                      <w:szCs w:val="20"/>
                    </w:rPr>
                  </w:pPr>
                  <w:r w:rsidRPr="00AF4B3F">
                    <w:rPr>
                      <w:rFonts w:asciiTheme="minorHAnsi" w:hAnsiTheme="minorHAnsi" w:cstheme="minorHAnsi"/>
                      <w:noProof/>
                      <w:sz w:val="20"/>
                      <w:szCs w:val="20"/>
                    </w:rPr>
                    <w:t>98.2%</w:t>
                  </w:r>
                </w:p>
              </w:tc>
              <w:tc>
                <w:tcPr>
                  <w:tcW w:w="993" w:type="dxa"/>
                </w:tcPr>
                <w:p w14:paraId="409B5C06" w14:textId="4625A721" w:rsidR="00221B9C" w:rsidRPr="00334EDB" w:rsidRDefault="006F0907" w:rsidP="00AF4B3F">
                  <w:pPr>
                    <w:pStyle w:val="NoSpacing"/>
                    <w:jc w:val="center"/>
                    <w:rPr>
                      <w:rFonts w:asciiTheme="minorHAnsi" w:hAnsiTheme="minorHAnsi" w:cstheme="minorHAnsi"/>
                      <w:noProof/>
                      <w:sz w:val="20"/>
                      <w:szCs w:val="20"/>
                    </w:rPr>
                  </w:pPr>
                  <w:r w:rsidRPr="00334EDB">
                    <w:rPr>
                      <w:rFonts w:asciiTheme="minorHAnsi" w:hAnsiTheme="minorHAnsi" w:cstheme="minorHAnsi"/>
                      <w:noProof/>
                      <w:color w:val="FF0000"/>
                      <w:sz w:val="20"/>
                      <w:szCs w:val="20"/>
                    </w:rPr>
                    <w:t>-2.9</w:t>
                  </w:r>
                </w:p>
              </w:tc>
            </w:tr>
            <w:tr w:rsidR="00221B9C" w14:paraId="2A6098AF" w14:textId="77777777" w:rsidTr="009869AA">
              <w:tc>
                <w:tcPr>
                  <w:tcW w:w="640" w:type="dxa"/>
                  <w:shd w:val="clear" w:color="auto" w:fill="D9D9D9" w:themeFill="background1" w:themeFillShade="D9"/>
                </w:tcPr>
                <w:p w14:paraId="0B67E280" w14:textId="0025C5CB" w:rsidR="00221B9C" w:rsidRPr="00AF4B3F" w:rsidRDefault="00221B9C" w:rsidP="00AF4B3F">
                  <w:pPr>
                    <w:pStyle w:val="NoSpacing"/>
                    <w:jc w:val="center"/>
                    <w:rPr>
                      <w:rFonts w:asciiTheme="minorHAnsi" w:hAnsiTheme="minorHAnsi" w:cstheme="minorHAnsi"/>
                      <w:b/>
                      <w:bCs/>
                      <w:noProof/>
                      <w:sz w:val="20"/>
                      <w:szCs w:val="20"/>
                    </w:rPr>
                  </w:pPr>
                  <w:r w:rsidRPr="00AF4B3F">
                    <w:rPr>
                      <w:rFonts w:asciiTheme="minorHAnsi" w:hAnsiTheme="minorHAnsi" w:cstheme="minorHAnsi"/>
                      <w:b/>
                      <w:bCs/>
                      <w:noProof/>
                      <w:sz w:val="20"/>
                      <w:szCs w:val="20"/>
                    </w:rPr>
                    <w:t>3</w:t>
                  </w:r>
                </w:p>
              </w:tc>
              <w:tc>
                <w:tcPr>
                  <w:tcW w:w="784" w:type="dxa"/>
                </w:tcPr>
                <w:p w14:paraId="2B68F682" w14:textId="1C42D4D7" w:rsidR="00221B9C" w:rsidRPr="00AF4B3F" w:rsidRDefault="006E115D" w:rsidP="00AF4B3F">
                  <w:pPr>
                    <w:pStyle w:val="NoSpacing"/>
                    <w:jc w:val="center"/>
                    <w:rPr>
                      <w:rFonts w:asciiTheme="minorHAnsi" w:hAnsiTheme="minorHAnsi" w:cstheme="minorHAnsi"/>
                      <w:noProof/>
                      <w:sz w:val="20"/>
                      <w:szCs w:val="20"/>
                    </w:rPr>
                  </w:pPr>
                  <w:r w:rsidRPr="00AF4B3F">
                    <w:rPr>
                      <w:rFonts w:asciiTheme="minorHAnsi" w:hAnsiTheme="minorHAnsi" w:cstheme="minorHAnsi"/>
                      <w:noProof/>
                      <w:sz w:val="20"/>
                      <w:szCs w:val="20"/>
                    </w:rPr>
                    <w:t>96.6%</w:t>
                  </w:r>
                </w:p>
              </w:tc>
              <w:tc>
                <w:tcPr>
                  <w:tcW w:w="896" w:type="dxa"/>
                </w:tcPr>
                <w:p w14:paraId="74C5A0EE" w14:textId="046BD1ED" w:rsidR="00221B9C" w:rsidRPr="00AF4B3F" w:rsidRDefault="00AA6716" w:rsidP="00AF4B3F">
                  <w:pPr>
                    <w:pStyle w:val="NoSpacing"/>
                    <w:jc w:val="center"/>
                    <w:rPr>
                      <w:rFonts w:asciiTheme="minorHAnsi" w:hAnsiTheme="minorHAnsi" w:cstheme="minorHAnsi"/>
                      <w:noProof/>
                      <w:sz w:val="20"/>
                      <w:szCs w:val="20"/>
                    </w:rPr>
                  </w:pPr>
                  <w:r w:rsidRPr="00AF4B3F">
                    <w:rPr>
                      <w:rFonts w:asciiTheme="minorHAnsi" w:hAnsiTheme="minorHAnsi" w:cstheme="minorHAnsi"/>
                      <w:noProof/>
                      <w:sz w:val="20"/>
                      <w:szCs w:val="20"/>
                    </w:rPr>
                    <w:t>95</w:t>
                  </w:r>
                  <w:r w:rsidR="00772515" w:rsidRPr="00AF4B3F">
                    <w:rPr>
                      <w:rFonts w:asciiTheme="minorHAnsi" w:hAnsiTheme="minorHAnsi" w:cstheme="minorHAnsi"/>
                      <w:noProof/>
                      <w:sz w:val="20"/>
                      <w:szCs w:val="20"/>
                    </w:rPr>
                    <w:t>.0%</w:t>
                  </w:r>
                </w:p>
              </w:tc>
              <w:tc>
                <w:tcPr>
                  <w:tcW w:w="993" w:type="dxa"/>
                </w:tcPr>
                <w:p w14:paraId="5CBBC425" w14:textId="28E297E6" w:rsidR="00221B9C" w:rsidRPr="00334EDB" w:rsidRDefault="006F0907" w:rsidP="00AF4B3F">
                  <w:pPr>
                    <w:pStyle w:val="NoSpacing"/>
                    <w:jc w:val="center"/>
                    <w:rPr>
                      <w:rFonts w:asciiTheme="minorHAnsi" w:hAnsiTheme="minorHAnsi" w:cstheme="minorHAnsi"/>
                      <w:noProof/>
                      <w:sz w:val="20"/>
                      <w:szCs w:val="20"/>
                    </w:rPr>
                  </w:pPr>
                  <w:r w:rsidRPr="00334EDB">
                    <w:rPr>
                      <w:rFonts w:asciiTheme="minorHAnsi" w:hAnsiTheme="minorHAnsi" w:cstheme="minorHAnsi"/>
                      <w:noProof/>
                      <w:color w:val="00B050"/>
                      <w:sz w:val="20"/>
                      <w:szCs w:val="20"/>
                    </w:rPr>
                    <w:t>+1.6</w:t>
                  </w:r>
                </w:p>
              </w:tc>
            </w:tr>
            <w:tr w:rsidR="00221B9C" w14:paraId="3D18A569" w14:textId="77777777" w:rsidTr="009869AA">
              <w:tc>
                <w:tcPr>
                  <w:tcW w:w="640" w:type="dxa"/>
                  <w:shd w:val="clear" w:color="auto" w:fill="D9D9D9" w:themeFill="background1" w:themeFillShade="D9"/>
                </w:tcPr>
                <w:p w14:paraId="56CE31DD" w14:textId="4421A5CF" w:rsidR="00221B9C" w:rsidRPr="00AF4B3F" w:rsidRDefault="00221B9C" w:rsidP="00AF4B3F">
                  <w:pPr>
                    <w:pStyle w:val="NoSpacing"/>
                    <w:jc w:val="center"/>
                    <w:rPr>
                      <w:rFonts w:asciiTheme="minorHAnsi" w:hAnsiTheme="minorHAnsi" w:cstheme="minorHAnsi"/>
                      <w:b/>
                      <w:bCs/>
                      <w:noProof/>
                      <w:sz w:val="20"/>
                      <w:szCs w:val="20"/>
                    </w:rPr>
                  </w:pPr>
                  <w:r w:rsidRPr="00AF4B3F">
                    <w:rPr>
                      <w:rFonts w:asciiTheme="minorHAnsi" w:hAnsiTheme="minorHAnsi" w:cstheme="minorHAnsi"/>
                      <w:b/>
                      <w:bCs/>
                      <w:noProof/>
                      <w:sz w:val="20"/>
                      <w:szCs w:val="20"/>
                    </w:rPr>
                    <w:t>4</w:t>
                  </w:r>
                </w:p>
              </w:tc>
              <w:tc>
                <w:tcPr>
                  <w:tcW w:w="784" w:type="dxa"/>
                </w:tcPr>
                <w:p w14:paraId="3F5BBF48" w14:textId="1C727E59" w:rsidR="00221B9C" w:rsidRPr="00AF4B3F" w:rsidRDefault="006E115D" w:rsidP="00AF4B3F">
                  <w:pPr>
                    <w:pStyle w:val="NoSpacing"/>
                    <w:jc w:val="center"/>
                    <w:rPr>
                      <w:rFonts w:asciiTheme="minorHAnsi" w:hAnsiTheme="minorHAnsi" w:cstheme="minorHAnsi"/>
                      <w:noProof/>
                      <w:sz w:val="20"/>
                      <w:szCs w:val="20"/>
                    </w:rPr>
                  </w:pPr>
                  <w:r w:rsidRPr="00AF4B3F">
                    <w:rPr>
                      <w:rFonts w:asciiTheme="minorHAnsi" w:hAnsiTheme="minorHAnsi" w:cstheme="minorHAnsi"/>
                      <w:noProof/>
                      <w:sz w:val="20"/>
                      <w:szCs w:val="20"/>
                    </w:rPr>
                    <w:t>96.9%</w:t>
                  </w:r>
                </w:p>
              </w:tc>
              <w:tc>
                <w:tcPr>
                  <w:tcW w:w="896" w:type="dxa"/>
                </w:tcPr>
                <w:p w14:paraId="3DC5F862" w14:textId="2C5CE5C6" w:rsidR="00221B9C" w:rsidRPr="00AF4B3F" w:rsidRDefault="00772515" w:rsidP="00AF4B3F">
                  <w:pPr>
                    <w:pStyle w:val="NoSpacing"/>
                    <w:jc w:val="center"/>
                    <w:rPr>
                      <w:rFonts w:asciiTheme="minorHAnsi" w:hAnsiTheme="minorHAnsi" w:cstheme="minorHAnsi"/>
                      <w:noProof/>
                      <w:sz w:val="20"/>
                      <w:szCs w:val="20"/>
                    </w:rPr>
                  </w:pPr>
                  <w:r w:rsidRPr="00AF4B3F">
                    <w:rPr>
                      <w:rFonts w:asciiTheme="minorHAnsi" w:hAnsiTheme="minorHAnsi" w:cstheme="minorHAnsi"/>
                      <w:noProof/>
                      <w:sz w:val="20"/>
                      <w:szCs w:val="20"/>
                    </w:rPr>
                    <w:t>98.4%</w:t>
                  </w:r>
                </w:p>
              </w:tc>
              <w:tc>
                <w:tcPr>
                  <w:tcW w:w="993" w:type="dxa"/>
                </w:tcPr>
                <w:p w14:paraId="6ED6AF86" w14:textId="4CAA621E" w:rsidR="00221B9C" w:rsidRPr="00334EDB" w:rsidRDefault="00FD2627" w:rsidP="00AF4B3F">
                  <w:pPr>
                    <w:pStyle w:val="NoSpacing"/>
                    <w:jc w:val="center"/>
                    <w:rPr>
                      <w:rFonts w:asciiTheme="minorHAnsi" w:hAnsiTheme="minorHAnsi" w:cstheme="minorHAnsi"/>
                      <w:noProof/>
                      <w:sz w:val="20"/>
                      <w:szCs w:val="20"/>
                    </w:rPr>
                  </w:pPr>
                  <w:r w:rsidRPr="00334EDB">
                    <w:rPr>
                      <w:rFonts w:asciiTheme="minorHAnsi" w:hAnsiTheme="minorHAnsi" w:cstheme="minorHAnsi"/>
                      <w:noProof/>
                      <w:color w:val="FF0000"/>
                      <w:sz w:val="20"/>
                      <w:szCs w:val="20"/>
                    </w:rPr>
                    <w:t>-1.5</w:t>
                  </w:r>
                </w:p>
              </w:tc>
            </w:tr>
            <w:tr w:rsidR="00221B9C" w14:paraId="1AB81BB6" w14:textId="77777777" w:rsidTr="009869AA">
              <w:tc>
                <w:tcPr>
                  <w:tcW w:w="640" w:type="dxa"/>
                  <w:shd w:val="clear" w:color="auto" w:fill="D9D9D9" w:themeFill="background1" w:themeFillShade="D9"/>
                </w:tcPr>
                <w:p w14:paraId="758E7F30" w14:textId="59E2BE5B" w:rsidR="00221B9C" w:rsidRPr="00AF4B3F" w:rsidRDefault="00221B9C" w:rsidP="00AF4B3F">
                  <w:pPr>
                    <w:pStyle w:val="NoSpacing"/>
                    <w:jc w:val="center"/>
                    <w:rPr>
                      <w:rFonts w:asciiTheme="minorHAnsi" w:hAnsiTheme="minorHAnsi" w:cstheme="minorHAnsi"/>
                      <w:b/>
                      <w:bCs/>
                      <w:noProof/>
                      <w:sz w:val="20"/>
                      <w:szCs w:val="20"/>
                    </w:rPr>
                  </w:pPr>
                  <w:r w:rsidRPr="00AF4B3F">
                    <w:rPr>
                      <w:rFonts w:asciiTheme="minorHAnsi" w:hAnsiTheme="minorHAnsi" w:cstheme="minorHAnsi"/>
                      <w:b/>
                      <w:bCs/>
                      <w:noProof/>
                      <w:sz w:val="20"/>
                      <w:szCs w:val="20"/>
                    </w:rPr>
                    <w:t>5</w:t>
                  </w:r>
                </w:p>
              </w:tc>
              <w:tc>
                <w:tcPr>
                  <w:tcW w:w="784" w:type="dxa"/>
                </w:tcPr>
                <w:p w14:paraId="76B250AA" w14:textId="531CEC20" w:rsidR="00221B9C" w:rsidRPr="00AF4B3F" w:rsidRDefault="006E115D" w:rsidP="00AF4B3F">
                  <w:pPr>
                    <w:pStyle w:val="NoSpacing"/>
                    <w:jc w:val="center"/>
                    <w:rPr>
                      <w:rFonts w:asciiTheme="minorHAnsi" w:hAnsiTheme="minorHAnsi" w:cstheme="minorHAnsi"/>
                      <w:noProof/>
                      <w:sz w:val="20"/>
                      <w:szCs w:val="20"/>
                    </w:rPr>
                  </w:pPr>
                  <w:r w:rsidRPr="00AF4B3F">
                    <w:rPr>
                      <w:rFonts w:asciiTheme="minorHAnsi" w:hAnsiTheme="minorHAnsi" w:cstheme="minorHAnsi"/>
                      <w:noProof/>
                      <w:sz w:val="20"/>
                      <w:szCs w:val="20"/>
                    </w:rPr>
                    <w:t>95.7%</w:t>
                  </w:r>
                </w:p>
              </w:tc>
              <w:tc>
                <w:tcPr>
                  <w:tcW w:w="896" w:type="dxa"/>
                </w:tcPr>
                <w:p w14:paraId="31CD9041" w14:textId="48DABD4D" w:rsidR="00221B9C" w:rsidRPr="00AF4B3F" w:rsidRDefault="00FC6B21" w:rsidP="00AF4B3F">
                  <w:pPr>
                    <w:pStyle w:val="NoSpacing"/>
                    <w:jc w:val="center"/>
                    <w:rPr>
                      <w:rFonts w:asciiTheme="minorHAnsi" w:hAnsiTheme="minorHAnsi" w:cstheme="minorHAnsi"/>
                      <w:noProof/>
                      <w:sz w:val="20"/>
                      <w:szCs w:val="20"/>
                    </w:rPr>
                  </w:pPr>
                  <w:r w:rsidRPr="00AF4B3F">
                    <w:rPr>
                      <w:rFonts w:asciiTheme="minorHAnsi" w:hAnsiTheme="minorHAnsi" w:cstheme="minorHAnsi"/>
                      <w:noProof/>
                      <w:sz w:val="20"/>
                      <w:szCs w:val="20"/>
                    </w:rPr>
                    <w:t>94.4%</w:t>
                  </w:r>
                </w:p>
              </w:tc>
              <w:tc>
                <w:tcPr>
                  <w:tcW w:w="993" w:type="dxa"/>
                </w:tcPr>
                <w:p w14:paraId="3623E940" w14:textId="513281AE" w:rsidR="00221B9C" w:rsidRPr="00334EDB" w:rsidRDefault="00FD2627" w:rsidP="00AF4B3F">
                  <w:pPr>
                    <w:pStyle w:val="NoSpacing"/>
                    <w:jc w:val="center"/>
                    <w:rPr>
                      <w:rFonts w:asciiTheme="minorHAnsi" w:hAnsiTheme="minorHAnsi" w:cstheme="minorHAnsi"/>
                      <w:noProof/>
                      <w:sz w:val="20"/>
                      <w:szCs w:val="20"/>
                    </w:rPr>
                  </w:pPr>
                  <w:r w:rsidRPr="00334EDB">
                    <w:rPr>
                      <w:rFonts w:asciiTheme="minorHAnsi" w:hAnsiTheme="minorHAnsi" w:cstheme="minorHAnsi"/>
                      <w:noProof/>
                      <w:color w:val="00B050"/>
                      <w:sz w:val="20"/>
                      <w:szCs w:val="20"/>
                    </w:rPr>
                    <w:t>+1.3</w:t>
                  </w:r>
                </w:p>
              </w:tc>
            </w:tr>
            <w:tr w:rsidR="00221B9C" w14:paraId="265DB29F" w14:textId="77777777" w:rsidTr="009869AA">
              <w:tc>
                <w:tcPr>
                  <w:tcW w:w="640" w:type="dxa"/>
                  <w:shd w:val="clear" w:color="auto" w:fill="D9D9D9" w:themeFill="background1" w:themeFillShade="D9"/>
                </w:tcPr>
                <w:p w14:paraId="5045BF30" w14:textId="739A4AA3" w:rsidR="00221B9C" w:rsidRPr="00AF4B3F" w:rsidRDefault="00221B9C" w:rsidP="00AF4B3F">
                  <w:pPr>
                    <w:pStyle w:val="NoSpacing"/>
                    <w:jc w:val="center"/>
                    <w:rPr>
                      <w:rFonts w:asciiTheme="minorHAnsi" w:hAnsiTheme="minorHAnsi" w:cstheme="minorHAnsi"/>
                      <w:b/>
                      <w:bCs/>
                      <w:noProof/>
                      <w:sz w:val="20"/>
                      <w:szCs w:val="20"/>
                    </w:rPr>
                  </w:pPr>
                  <w:r w:rsidRPr="00AF4B3F">
                    <w:rPr>
                      <w:rFonts w:asciiTheme="minorHAnsi" w:hAnsiTheme="minorHAnsi" w:cstheme="minorHAnsi"/>
                      <w:b/>
                      <w:bCs/>
                      <w:noProof/>
                      <w:sz w:val="20"/>
                      <w:szCs w:val="20"/>
                    </w:rPr>
                    <w:t>6</w:t>
                  </w:r>
                </w:p>
              </w:tc>
              <w:tc>
                <w:tcPr>
                  <w:tcW w:w="784" w:type="dxa"/>
                </w:tcPr>
                <w:p w14:paraId="1EC482CF" w14:textId="2E6A169C" w:rsidR="00221B9C" w:rsidRPr="00AF4B3F" w:rsidRDefault="006E115D" w:rsidP="00AF4B3F">
                  <w:pPr>
                    <w:pStyle w:val="NoSpacing"/>
                    <w:jc w:val="center"/>
                    <w:rPr>
                      <w:rFonts w:asciiTheme="minorHAnsi" w:hAnsiTheme="minorHAnsi" w:cstheme="minorHAnsi"/>
                      <w:noProof/>
                      <w:sz w:val="20"/>
                      <w:szCs w:val="20"/>
                    </w:rPr>
                  </w:pPr>
                  <w:r w:rsidRPr="00AF4B3F">
                    <w:rPr>
                      <w:rFonts w:asciiTheme="minorHAnsi" w:hAnsiTheme="minorHAnsi" w:cstheme="minorHAnsi"/>
                      <w:noProof/>
                      <w:sz w:val="20"/>
                      <w:szCs w:val="20"/>
                    </w:rPr>
                    <w:t>94.5%</w:t>
                  </w:r>
                </w:p>
              </w:tc>
              <w:tc>
                <w:tcPr>
                  <w:tcW w:w="896" w:type="dxa"/>
                </w:tcPr>
                <w:p w14:paraId="73DB0807" w14:textId="3DA97BFF" w:rsidR="00221B9C" w:rsidRPr="00AF4B3F" w:rsidRDefault="00FC6B21" w:rsidP="00AF4B3F">
                  <w:pPr>
                    <w:pStyle w:val="NoSpacing"/>
                    <w:jc w:val="center"/>
                    <w:rPr>
                      <w:rFonts w:asciiTheme="minorHAnsi" w:hAnsiTheme="minorHAnsi" w:cstheme="minorHAnsi"/>
                      <w:noProof/>
                      <w:sz w:val="20"/>
                      <w:szCs w:val="20"/>
                    </w:rPr>
                  </w:pPr>
                  <w:r w:rsidRPr="00AF4B3F">
                    <w:rPr>
                      <w:rFonts w:asciiTheme="minorHAnsi" w:hAnsiTheme="minorHAnsi" w:cstheme="minorHAnsi"/>
                      <w:noProof/>
                      <w:sz w:val="20"/>
                      <w:szCs w:val="20"/>
                    </w:rPr>
                    <w:t>96.2%</w:t>
                  </w:r>
                </w:p>
              </w:tc>
              <w:tc>
                <w:tcPr>
                  <w:tcW w:w="993" w:type="dxa"/>
                </w:tcPr>
                <w:p w14:paraId="34CFE3AA" w14:textId="46D06344" w:rsidR="00221B9C" w:rsidRPr="00334EDB" w:rsidRDefault="00FD2627" w:rsidP="00AF4B3F">
                  <w:pPr>
                    <w:pStyle w:val="NoSpacing"/>
                    <w:jc w:val="center"/>
                    <w:rPr>
                      <w:rFonts w:asciiTheme="minorHAnsi" w:hAnsiTheme="minorHAnsi" w:cstheme="minorHAnsi"/>
                      <w:noProof/>
                      <w:sz w:val="20"/>
                      <w:szCs w:val="20"/>
                    </w:rPr>
                  </w:pPr>
                  <w:r w:rsidRPr="00334EDB">
                    <w:rPr>
                      <w:rFonts w:asciiTheme="minorHAnsi" w:hAnsiTheme="minorHAnsi" w:cstheme="minorHAnsi"/>
                      <w:noProof/>
                      <w:color w:val="FF0000"/>
                      <w:sz w:val="20"/>
                      <w:szCs w:val="20"/>
                    </w:rPr>
                    <w:t>-1.7</w:t>
                  </w:r>
                </w:p>
              </w:tc>
            </w:tr>
            <w:tr w:rsidR="00FD2627" w14:paraId="1F121E34" w14:textId="77777777" w:rsidTr="00CA27ED">
              <w:tc>
                <w:tcPr>
                  <w:tcW w:w="640" w:type="dxa"/>
                  <w:shd w:val="clear" w:color="auto" w:fill="D9D9D9" w:themeFill="background1" w:themeFillShade="D9"/>
                </w:tcPr>
                <w:p w14:paraId="44D785AA" w14:textId="783BA15A" w:rsidR="00FD2627" w:rsidRPr="00CA27ED" w:rsidRDefault="009869AA" w:rsidP="00AF4B3F">
                  <w:pPr>
                    <w:pStyle w:val="NoSpacing"/>
                    <w:jc w:val="center"/>
                    <w:rPr>
                      <w:rFonts w:asciiTheme="minorHAnsi" w:hAnsiTheme="minorHAnsi" w:cstheme="minorHAnsi"/>
                      <w:b/>
                      <w:bCs/>
                      <w:noProof/>
                      <w:sz w:val="20"/>
                      <w:szCs w:val="20"/>
                    </w:rPr>
                  </w:pPr>
                  <w:r w:rsidRPr="00CA27ED">
                    <w:rPr>
                      <w:rFonts w:asciiTheme="minorHAnsi" w:hAnsiTheme="minorHAnsi" w:cstheme="minorHAnsi"/>
                      <w:b/>
                      <w:bCs/>
                      <w:noProof/>
                      <w:sz w:val="20"/>
                      <w:szCs w:val="20"/>
                    </w:rPr>
                    <w:t>Average</w:t>
                  </w:r>
                </w:p>
              </w:tc>
              <w:tc>
                <w:tcPr>
                  <w:tcW w:w="784" w:type="dxa"/>
                </w:tcPr>
                <w:p w14:paraId="1B2F9A1C" w14:textId="4B34A808" w:rsidR="00FD2627" w:rsidRPr="00CA27ED" w:rsidRDefault="00247732" w:rsidP="00AF4B3F">
                  <w:pPr>
                    <w:pStyle w:val="NoSpacing"/>
                    <w:jc w:val="center"/>
                    <w:rPr>
                      <w:rFonts w:asciiTheme="minorHAnsi" w:hAnsiTheme="minorHAnsi" w:cstheme="minorHAnsi"/>
                      <w:b/>
                      <w:bCs/>
                      <w:noProof/>
                      <w:sz w:val="20"/>
                      <w:szCs w:val="20"/>
                    </w:rPr>
                  </w:pPr>
                  <w:r w:rsidRPr="00CA27ED">
                    <w:rPr>
                      <w:rFonts w:asciiTheme="minorHAnsi" w:hAnsiTheme="minorHAnsi" w:cstheme="minorHAnsi"/>
                      <w:b/>
                      <w:bCs/>
                      <w:noProof/>
                      <w:sz w:val="20"/>
                      <w:szCs w:val="20"/>
                    </w:rPr>
                    <w:t>95.8%</w:t>
                  </w:r>
                </w:p>
              </w:tc>
              <w:tc>
                <w:tcPr>
                  <w:tcW w:w="896" w:type="dxa"/>
                </w:tcPr>
                <w:p w14:paraId="0C37E55D" w14:textId="1B1C1463" w:rsidR="00FD2627" w:rsidRPr="00CA27ED" w:rsidRDefault="00247732" w:rsidP="00AF4B3F">
                  <w:pPr>
                    <w:pStyle w:val="NoSpacing"/>
                    <w:jc w:val="center"/>
                    <w:rPr>
                      <w:rFonts w:asciiTheme="minorHAnsi" w:hAnsiTheme="minorHAnsi" w:cstheme="minorHAnsi"/>
                      <w:b/>
                      <w:bCs/>
                      <w:noProof/>
                      <w:sz w:val="20"/>
                      <w:szCs w:val="20"/>
                    </w:rPr>
                  </w:pPr>
                  <w:r w:rsidRPr="00CA27ED">
                    <w:rPr>
                      <w:rFonts w:asciiTheme="minorHAnsi" w:hAnsiTheme="minorHAnsi" w:cstheme="minorHAnsi"/>
                      <w:b/>
                      <w:bCs/>
                      <w:noProof/>
                      <w:sz w:val="20"/>
                      <w:szCs w:val="20"/>
                    </w:rPr>
                    <w:t>95.5%</w:t>
                  </w:r>
                </w:p>
              </w:tc>
              <w:tc>
                <w:tcPr>
                  <w:tcW w:w="993" w:type="dxa"/>
                </w:tcPr>
                <w:p w14:paraId="5766D54F" w14:textId="3BD83CA4" w:rsidR="00FD2627" w:rsidRPr="009869AA" w:rsidRDefault="00AF4B3F" w:rsidP="00AF4B3F">
                  <w:pPr>
                    <w:pStyle w:val="NoSpacing"/>
                    <w:jc w:val="center"/>
                    <w:rPr>
                      <w:rFonts w:asciiTheme="minorHAnsi" w:hAnsiTheme="minorHAnsi" w:cstheme="minorHAnsi"/>
                      <w:b/>
                      <w:bCs/>
                      <w:noProof/>
                      <w:sz w:val="20"/>
                      <w:szCs w:val="20"/>
                    </w:rPr>
                  </w:pPr>
                  <w:r w:rsidRPr="009869AA">
                    <w:rPr>
                      <w:rFonts w:asciiTheme="minorHAnsi" w:hAnsiTheme="minorHAnsi" w:cstheme="minorHAnsi"/>
                      <w:b/>
                      <w:bCs/>
                      <w:noProof/>
                      <w:color w:val="00B050"/>
                      <w:sz w:val="20"/>
                      <w:szCs w:val="20"/>
                    </w:rPr>
                    <w:t>+0.3%</w:t>
                  </w:r>
                </w:p>
              </w:tc>
            </w:tr>
            <w:tr w:rsidR="00500D98" w14:paraId="5175F9CE" w14:textId="77777777" w:rsidTr="00CA27ED">
              <w:tc>
                <w:tcPr>
                  <w:tcW w:w="640" w:type="dxa"/>
                  <w:shd w:val="clear" w:color="auto" w:fill="D9D9D9" w:themeFill="background1" w:themeFillShade="D9"/>
                </w:tcPr>
                <w:p w14:paraId="0B47899E" w14:textId="4CE5167C" w:rsidR="00500D98" w:rsidRPr="00CA27ED" w:rsidRDefault="00500D98" w:rsidP="00AF4B3F">
                  <w:pPr>
                    <w:pStyle w:val="NoSpacing"/>
                    <w:jc w:val="center"/>
                    <w:rPr>
                      <w:rFonts w:asciiTheme="minorHAnsi" w:hAnsiTheme="minorHAnsi" w:cstheme="minorHAnsi"/>
                      <w:b/>
                      <w:bCs/>
                      <w:noProof/>
                      <w:sz w:val="20"/>
                      <w:szCs w:val="20"/>
                    </w:rPr>
                  </w:pPr>
                  <w:r>
                    <w:rPr>
                      <w:rFonts w:asciiTheme="minorHAnsi" w:hAnsiTheme="minorHAnsi" w:cstheme="minorHAnsi"/>
                      <w:b/>
                      <w:bCs/>
                      <w:noProof/>
                      <w:sz w:val="20"/>
                      <w:szCs w:val="20"/>
                    </w:rPr>
                    <w:t>NA</w:t>
                  </w:r>
                </w:p>
              </w:tc>
              <w:tc>
                <w:tcPr>
                  <w:tcW w:w="784" w:type="dxa"/>
                </w:tcPr>
                <w:p w14:paraId="52772C18" w14:textId="77777777" w:rsidR="00500D98" w:rsidRPr="00CA27ED" w:rsidRDefault="00500D98" w:rsidP="00AF4B3F">
                  <w:pPr>
                    <w:pStyle w:val="NoSpacing"/>
                    <w:jc w:val="center"/>
                    <w:rPr>
                      <w:rFonts w:asciiTheme="minorHAnsi" w:hAnsiTheme="minorHAnsi" w:cstheme="minorHAnsi"/>
                      <w:b/>
                      <w:bCs/>
                      <w:noProof/>
                      <w:sz w:val="20"/>
                      <w:szCs w:val="20"/>
                    </w:rPr>
                  </w:pPr>
                </w:p>
              </w:tc>
              <w:tc>
                <w:tcPr>
                  <w:tcW w:w="896" w:type="dxa"/>
                </w:tcPr>
                <w:p w14:paraId="40E36950" w14:textId="77777777" w:rsidR="00500D98" w:rsidRPr="00CA27ED" w:rsidRDefault="00500D98" w:rsidP="00AF4B3F">
                  <w:pPr>
                    <w:pStyle w:val="NoSpacing"/>
                    <w:jc w:val="center"/>
                    <w:rPr>
                      <w:rFonts w:asciiTheme="minorHAnsi" w:hAnsiTheme="minorHAnsi" w:cstheme="minorHAnsi"/>
                      <w:b/>
                      <w:bCs/>
                      <w:noProof/>
                      <w:sz w:val="20"/>
                      <w:szCs w:val="20"/>
                    </w:rPr>
                  </w:pPr>
                </w:p>
              </w:tc>
              <w:tc>
                <w:tcPr>
                  <w:tcW w:w="993" w:type="dxa"/>
                </w:tcPr>
                <w:p w14:paraId="6F4BFEAC" w14:textId="77777777" w:rsidR="00500D98" w:rsidRPr="009869AA" w:rsidRDefault="00500D98" w:rsidP="00AF4B3F">
                  <w:pPr>
                    <w:pStyle w:val="NoSpacing"/>
                    <w:jc w:val="center"/>
                    <w:rPr>
                      <w:rFonts w:asciiTheme="minorHAnsi" w:hAnsiTheme="minorHAnsi" w:cstheme="minorHAnsi"/>
                      <w:b/>
                      <w:bCs/>
                      <w:noProof/>
                      <w:color w:val="00B050"/>
                      <w:sz w:val="20"/>
                      <w:szCs w:val="20"/>
                    </w:rPr>
                  </w:pPr>
                </w:p>
              </w:tc>
            </w:tr>
          </w:tbl>
          <w:p w14:paraId="7A0048DC" w14:textId="77777777" w:rsidR="00F622E0" w:rsidRDefault="00F622E0" w:rsidP="00BD3AF0">
            <w:pPr>
              <w:pStyle w:val="NoSpacing"/>
              <w:rPr>
                <w:noProof/>
                <w:sz w:val="20"/>
                <w:szCs w:val="20"/>
                <w:highlight w:val="yellow"/>
              </w:rPr>
            </w:pPr>
          </w:p>
          <w:p w14:paraId="4C3CCBB3" w14:textId="53CDE2D7" w:rsidR="00C058D1" w:rsidRPr="00261600" w:rsidRDefault="000472A4" w:rsidP="00BD3AF0">
            <w:pPr>
              <w:pStyle w:val="NoSpacing"/>
              <w:rPr>
                <w:b/>
                <w:bCs/>
                <w:noProof/>
                <w:sz w:val="20"/>
                <w:szCs w:val="20"/>
              </w:rPr>
            </w:pPr>
            <w:r w:rsidRPr="00261600">
              <w:rPr>
                <w:b/>
                <w:bCs/>
                <w:noProof/>
                <w:sz w:val="20"/>
                <w:szCs w:val="20"/>
              </w:rPr>
              <w:t>Persistent Absence</w:t>
            </w:r>
          </w:p>
          <w:tbl>
            <w:tblPr>
              <w:tblStyle w:val="TableGrid"/>
              <w:tblW w:w="0" w:type="auto"/>
              <w:tblLook w:val="04A0" w:firstRow="1" w:lastRow="0" w:firstColumn="1" w:lastColumn="0" w:noHBand="0" w:noVBand="1"/>
            </w:tblPr>
            <w:tblGrid>
              <w:gridCol w:w="898"/>
              <w:gridCol w:w="784"/>
              <w:gridCol w:w="1205"/>
              <w:gridCol w:w="1082"/>
            </w:tblGrid>
            <w:tr w:rsidR="00C058D1" w14:paraId="7DB7B717" w14:textId="77777777" w:rsidTr="00C058D1">
              <w:tc>
                <w:tcPr>
                  <w:tcW w:w="898" w:type="dxa"/>
                  <w:shd w:val="clear" w:color="auto" w:fill="D9D9D9" w:themeFill="background1" w:themeFillShade="D9"/>
                </w:tcPr>
                <w:p w14:paraId="1CAC3649" w14:textId="77777777" w:rsidR="00C058D1" w:rsidRPr="00AF4B3F" w:rsidRDefault="00C058D1" w:rsidP="00C058D1">
                  <w:pPr>
                    <w:pStyle w:val="NoSpacing"/>
                    <w:jc w:val="center"/>
                    <w:rPr>
                      <w:rFonts w:asciiTheme="minorHAnsi" w:hAnsiTheme="minorHAnsi" w:cstheme="minorHAnsi"/>
                      <w:b/>
                      <w:bCs/>
                      <w:noProof/>
                      <w:sz w:val="20"/>
                      <w:szCs w:val="20"/>
                    </w:rPr>
                  </w:pPr>
                  <w:r w:rsidRPr="00AF4B3F">
                    <w:rPr>
                      <w:rFonts w:asciiTheme="minorHAnsi" w:hAnsiTheme="minorHAnsi" w:cstheme="minorHAnsi"/>
                      <w:b/>
                      <w:bCs/>
                      <w:noProof/>
                      <w:sz w:val="20"/>
                      <w:szCs w:val="20"/>
                    </w:rPr>
                    <w:t>Year</w:t>
                  </w:r>
                </w:p>
              </w:tc>
              <w:tc>
                <w:tcPr>
                  <w:tcW w:w="784" w:type="dxa"/>
                  <w:shd w:val="clear" w:color="auto" w:fill="D9D9D9" w:themeFill="background1" w:themeFillShade="D9"/>
                </w:tcPr>
                <w:p w14:paraId="15AB3F9A" w14:textId="271BBAB4" w:rsidR="00C058D1" w:rsidRPr="00334EDB" w:rsidRDefault="00C058D1" w:rsidP="00C058D1">
                  <w:pPr>
                    <w:pStyle w:val="NoSpacing"/>
                    <w:jc w:val="center"/>
                    <w:rPr>
                      <w:rFonts w:asciiTheme="minorHAnsi" w:hAnsiTheme="minorHAnsi" w:cstheme="minorHAnsi"/>
                      <w:b/>
                      <w:bCs/>
                      <w:noProof/>
                      <w:sz w:val="20"/>
                      <w:szCs w:val="20"/>
                    </w:rPr>
                  </w:pPr>
                  <w:r w:rsidRPr="00334EDB">
                    <w:rPr>
                      <w:rFonts w:asciiTheme="minorHAnsi" w:hAnsiTheme="minorHAnsi" w:cstheme="minorHAnsi"/>
                      <w:b/>
                      <w:bCs/>
                      <w:noProof/>
                      <w:sz w:val="20"/>
                      <w:szCs w:val="20"/>
                    </w:rPr>
                    <w:t>PP</w:t>
                  </w:r>
                  <w:r>
                    <w:rPr>
                      <w:rFonts w:asciiTheme="minorHAnsi" w:hAnsiTheme="minorHAnsi" w:cstheme="minorHAnsi"/>
                      <w:b/>
                      <w:bCs/>
                      <w:noProof/>
                      <w:sz w:val="20"/>
                      <w:szCs w:val="20"/>
                    </w:rPr>
                    <w:t xml:space="preserve"> PA</w:t>
                  </w:r>
                </w:p>
              </w:tc>
              <w:tc>
                <w:tcPr>
                  <w:tcW w:w="1205" w:type="dxa"/>
                  <w:shd w:val="clear" w:color="auto" w:fill="D9D9D9" w:themeFill="background1" w:themeFillShade="D9"/>
                </w:tcPr>
                <w:p w14:paraId="65B3A972" w14:textId="3F94CE07" w:rsidR="00C058D1" w:rsidRPr="00334EDB" w:rsidRDefault="00C058D1" w:rsidP="00C058D1">
                  <w:pPr>
                    <w:pStyle w:val="NoSpacing"/>
                    <w:jc w:val="center"/>
                    <w:rPr>
                      <w:rFonts w:asciiTheme="minorHAnsi" w:hAnsiTheme="minorHAnsi" w:cstheme="minorHAnsi"/>
                      <w:b/>
                      <w:bCs/>
                      <w:noProof/>
                      <w:sz w:val="20"/>
                      <w:szCs w:val="20"/>
                    </w:rPr>
                  </w:pPr>
                  <w:r w:rsidRPr="00334EDB">
                    <w:rPr>
                      <w:rFonts w:asciiTheme="minorHAnsi" w:hAnsiTheme="minorHAnsi" w:cstheme="minorHAnsi"/>
                      <w:b/>
                      <w:bCs/>
                      <w:noProof/>
                      <w:sz w:val="20"/>
                      <w:szCs w:val="20"/>
                    </w:rPr>
                    <w:t>Non PP</w:t>
                  </w:r>
                  <w:r>
                    <w:rPr>
                      <w:rFonts w:asciiTheme="minorHAnsi" w:hAnsiTheme="minorHAnsi" w:cstheme="minorHAnsi"/>
                      <w:b/>
                      <w:bCs/>
                      <w:noProof/>
                      <w:sz w:val="20"/>
                      <w:szCs w:val="20"/>
                    </w:rPr>
                    <w:t xml:space="preserve"> PA</w:t>
                  </w:r>
                </w:p>
              </w:tc>
              <w:tc>
                <w:tcPr>
                  <w:tcW w:w="773" w:type="dxa"/>
                  <w:shd w:val="clear" w:color="auto" w:fill="D9D9D9" w:themeFill="background1" w:themeFillShade="D9"/>
                </w:tcPr>
                <w:p w14:paraId="38786497" w14:textId="77777777" w:rsidR="00C058D1" w:rsidRPr="00334EDB" w:rsidRDefault="00C058D1" w:rsidP="00C058D1">
                  <w:pPr>
                    <w:pStyle w:val="NoSpacing"/>
                    <w:jc w:val="center"/>
                    <w:rPr>
                      <w:rFonts w:asciiTheme="minorHAnsi" w:hAnsiTheme="minorHAnsi" w:cstheme="minorHAnsi"/>
                      <w:b/>
                      <w:bCs/>
                      <w:noProof/>
                      <w:sz w:val="20"/>
                      <w:szCs w:val="20"/>
                    </w:rPr>
                  </w:pPr>
                  <w:r w:rsidRPr="00334EDB">
                    <w:rPr>
                      <w:rFonts w:asciiTheme="minorHAnsi" w:hAnsiTheme="minorHAnsi" w:cstheme="minorHAnsi"/>
                      <w:b/>
                      <w:bCs/>
                      <w:noProof/>
                      <w:sz w:val="20"/>
                      <w:szCs w:val="20"/>
                    </w:rPr>
                    <w:t>Difference</w:t>
                  </w:r>
                </w:p>
              </w:tc>
            </w:tr>
            <w:tr w:rsidR="00C058D1" w14:paraId="58C50477" w14:textId="77777777" w:rsidTr="00C058D1">
              <w:tc>
                <w:tcPr>
                  <w:tcW w:w="898" w:type="dxa"/>
                  <w:shd w:val="clear" w:color="auto" w:fill="D9D9D9" w:themeFill="background1" w:themeFillShade="D9"/>
                </w:tcPr>
                <w:p w14:paraId="0BF7DD14" w14:textId="77777777" w:rsidR="00C058D1" w:rsidRPr="00AF4B3F" w:rsidRDefault="00C058D1" w:rsidP="00C058D1">
                  <w:pPr>
                    <w:pStyle w:val="NoSpacing"/>
                    <w:jc w:val="center"/>
                    <w:rPr>
                      <w:rFonts w:asciiTheme="minorHAnsi" w:hAnsiTheme="minorHAnsi" w:cstheme="minorHAnsi"/>
                      <w:b/>
                      <w:bCs/>
                      <w:noProof/>
                      <w:sz w:val="20"/>
                      <w:szCs w:val="20"/>
                    </w:rPr>
                  </w:pPr>
                  <w:r w:rsidRPr="00AF4B3F">
                    <w:rPr>
                      <w:rFonts w:asciiTheme="minorHAnsi" w:hAnsiTheme="minorHAnsi" w:cstheme="minorHAnsi"/>
                      <w:b/>
                      <w:bCs/>
                      <w:noProof/>
                      <w:sz w:val="20"/>
                      <w:szCs w:val="20"/>
                    </w:rPr>
                    <w:t>1</w:t>
                  </w:r>
                </w:p>
              </w:tc>
              <w:tc>
                <w:tcPr>
                  <w:tcW w:w="784" w:type="dxa"/>
                </w:tcPr>
                <w:p w14:paraId="3EE8F526" w14:textId="4027CB6B" w:rsidR="00C058D1" w:rsidRPr="00AF4B3F" w:rsidRDefault="00742337" w:rsidP="00C058D1">
                  <w:pPr>
                    <w:pStyle w:val="NoSpacing"/>
                    <w:jc w:val="center"/>
                    <w:rPr>
                      <w:rFonts w:asciiTheme="minorHAnsi" w:hAnsiTheme="minorHAnsi" w:cstheme="minorHAnsi"/>
                      <w:noProof/>
                      <w:sz w:val="20"/>
                      <w:szCs w:val="20"/>
                    </w:rPr>
                  </w:pPr>
                  <w:r>
                    <w:rPr>
                      <w:rFonts w:asciiTheme="minorHAnsi" w:hAnsiTheme="minorHAnsi" w:cstheme="minorHAnsi"/>
                      <w:noProof/>
                      <w:sz w:val="20"/>
                      <w:szCs w:val="20"/>
                    </w:rPr>
                    <w:t>10</w:t>
                  </w:r>
                  <w:r w:rsidR="005C657F">
                    <w:rPr>
                      <w:rFonts w:asciiTheme="minorHAnsi" w:hAnsiTheme="minorHAnsi" w:cstheme="minorHAnsi"/>
                      <w:noProof/>
                      <w:sz w:val="20"/>
                      <w:szCs w:val="20"/>
                    </w:rPr>
                    <w:t>.0%</w:t>
                  </w:r>
                </w:p>
              </w:tc>
              <w:tc>
                <w:tcPr>
                  <w:tcW w:w="1205" w:type="dxa"/>
                </w:tcPr>
                <w:p w14:paraId="0A118514" w14:textId="41A8526C" w:rsidR="00C058D1" w:rsidRPr="00AF4B3F" w:rsidRDefault="00C242DD" w:rsidP="00C058D1">
                  <w:pPr>
                    <w:pStyle w:val="NoSpacing"/>
                    <w:jc w:val="center"/>
                    <w:rPr>
                      <w:rFonts w:asciiTheme="minorHAnsi" w:hAnsiTheme="minorHAnsi" w:cstheme="minorHAnsi"/>
                      <w:noProof/>
                      <w:sz w:val="20"/>
                      <w:szCs w:val="20"/>
                    </w:rPr>
                  </w:pPr>
                  <w:r>
                    <w:rPr>
                      <w:rFonts w:asciiTheme="minorHAnsi" w:hAnsiTheme="minorHAnsi" w:cstheme="minorHAnsi"/>
                      <w:noProof/>
                      <w:sz w:val="20"/>
                      <w:szCs w:val="20"/>
                    </w:rPr>
                    <w:t>17.6%</w:t>
                  </w:r>
                </w:p>
              </w:tc>
              <w:tc>
                <w:tcPr>
                  <w:tcW w:w="773" w:type="dxa"/>
                </w:tcPr>
                <w:p w14:paraId="5D2B14AC" w14:textId="583FEA29" w:rsidR="00C058D1" w:rsidRPr="00334EDB" w:rsidRDefault="004A59AF" w:rsidP="00C058D1">
                  <w:pPr>
                    <w:pStyle w:val="NoSpacing"/>
                    <w:jc w:val="center"/>
                    <w:rPr>
                      <w:rFonts w:asciiTheme="minorHAnsi" w:hAnsiTheme="minorHAnsi" w:cstheme="minorHAnsi"/>
                      <w:noProof/>
                      <w:sz w:val="20"/>
                      <w:szCs w:val="20"/>
                    </w:rPr>
                  </w:pPr>
                  <w:r>
                    <w:rPr>
                      <w:rFonts w:asciiTheme="minorHAnsi" w:hAnsiTheme="minorHAnsi" w:cstheme="minorHAnsi"/>
                      <w:noProof/>
                      <w:color w:val="00B050"/>
                      <w:sz w:val="20"/>
                      <w:szCs w:val="20"/>
                    </w:rPr>
                    <w:t>-7.6%</w:t>
                  </w:r>
                </w:p>
              </w:tc>
            </w:tr>
            <w:tr w:rsidR="00C058D1" w14:paraId="3A1868B5" w14:textId="77777777" w:rsidTr="00C058D1">
              <w:tc>
                <w:tcPr>
                  <w:tcW w:w="898" w:type="dxa"/>
                  <w:shd w:val="clear" w:color="auto" w:fill="D9D9D9" w:themeFill="background1" w:themeFillShade="D9"/>
                </w:tcPr>
                <w:p w14:paraId="19493E59" w14:textId="77777777" w:rsidR="00C058D1" w:rsidRPr="00AF4B3F" w:rsidRDefault="00C058D1" w:rsidP="00C058D1">
                  <w:pPr>
                    <w:pStyle w:val="NoSpacing"/>
                    <w:jc w:val="center"/>
                    <w:rPr>
                      <w:rFonts w:asciiTheme="minorHAnsi" w:hAnsiTheme="minorHAnsi" w:cstheme="minorHAnsi"/>
                      <w:b/>
                      <w:bCs/>
                      <w:noProof/>
                      <w:sz w:val="20"/>
                      <w:szCs w:val="20"/>
                    </w:rPr>
                  </w:pPr>
                  <w:r w:rsidRPr="00AF4B3F">
                    <w:rPr>
                      <w:rFonts w:asciiTheme="minorHAnsi" w:hAnsiTheme="minorHAnsi" w:cstheme="minorHAnsi"/>
                      <w:b/>
                      <w:bCs/>
                      <w:noProof/>
                      <w:sz w:val="20"/>
                      <w:szCs w:val="20"/>
                    </w:rPr>
                    <w:t>2</w:t>
                  </w:r>
                </w:p>
              </w:tc>
              <w:tc>
                <w:tcPr>
                  <w:tcW w:w="784" w:type="dxa"/>
                </w:tcPr>
                <w:p w14:paraId="29E98C23" w14:textId="3FEE7635" w:rsidR="00C058D1" w:rsidRPr="00AF4B3F" w:rsidRDefault="005C657F" w:rsidP="00C058D1">
                  <w:pPr>
                    <w:pStyle w:val="NoSpacing"/>
                    <w:jc w:val="center"/>
                    <w:rPr>
                      <w:rFonts w:asciiTheme="minorHAnsi" w:hAnsiTheme="minorHAnsi" w:cstheme="minorHAnsi"/>
                      <w:noProof/>
                      <w:sz w:val="20"/>
                      <w:szCs w:val="20"/>
                    </w:rPr>
                  </w:pPr>
                  <w:r>
                    <w:rPr>
                      <w:rFonts w:asciiTheme="minorHAnsi" w:hAnsiTheme="minorHAnsi" w:cstheme="minorHAnsi"/>
                      <w:noProof/>
                      <w:sz w:val="20"/>
                      <w:szCs w:val="20"/>
                    </w:rPr>
                    <w:t>16.7%</w:t>
                  </w:r>
                </w:p>
              </w:tc>
              <w:tc>
                <w:tcPr>
                  <w:tcW w:w="1205" w:type="dxa"/>
                </w:tcPr>
                <w:p w14:paraId="7FB1F034" w14:textId="41BBA78F" w:rsidR="00C058D1" w:rsidRPr="00AF4B3F" w:rsidRDefault="00C242DD" w:rsidP="00C058D1">
                  <w:pPr>
                    <w:pStyle w:val="NoSpacing"/>
                    <w:jc w:val="center"/>
                    <w:rPr>
                      <w:rFonts w:asciiTheme="minorHAnsi" w:hAnsiTheme="minorHAnsi" w:cstheme="minorHAnsi"/>
                      <w:noProof/>
                      <w:sz w:val="20"/>
                      <w:szCs w:val="20"/>
                    </w:rPr>
                  </w:pPr>
                  <w:r>
                    <w:rPr>
                      <w:rFonts w:asciiTheme="minorHAnsi" w:hAnsiTheme="minorHAnsi" w:cstheme="minorHAnsi"/>
                      <w:noProof/>
                      <w:sz w:val="20"/>
                      <w:szCs w:val="20"/>
                    </w:rPr>
                    <w:t>0%</w:t>
                  </w:r>
                </w:p>
              </w:tc>
              <w:tc>
                <w:tcPr>
                  <w:tcW w:w="773" w:type="dxa"/>
                </w:tcPr>
                <w:p w14:paraId="685904C2" w14:textId="54F45E34" w:rsidR="00C058D1" w:rsidRPr="00334EDB" w:rsidRDefault="00487779" w:rsidP="00C058D1">
                  <w:pPr>
                    <w:pStyle w:val="NoSpacing"/>
                    <w:jc w:val="center"/>
                    <w:rPr>
                      <w:rFonts w:asciiTheme="minorHAnsi" w:hAnsiTheme="minorHAnsi" w:cstheme="minorHAnsi"/>
                      <w:noProof/>
                      <w:sz w:val="20"/>
                      <w:szCs w:val="20"/>
                    </w:rPr>
                  </w:pPr>
                  <w:r>
                    <w:rPr>
                      <w:rFonts w:asciiTheme="minorHAnsi" w:hAnsiTheme="minorHAnsi" w:cstheme="minorHAnsi"/>
                      <w:noProof/>
                      <w:color w:val="FF0000"/>
                      <w:sz w:val="20"/>
                      <w:szCs w:val="20"/>
                    </w:rPr>
                    <w:t>+16.7%</w:t>
                  </w:r>
                </w:p>
              </w:tc>
            </w:tr>
            <w:tr w:rsidR="00C058D1" w14:paraId="4173E184" w14:textId="77777777" w:rsidTr="00C058D1">
              <w:tc>
                <w:tcPr>
                  <w:tcW w:w="898" w:type="dxa"/>
                  <w:shd w:val="clear" w:color="auto" w:fill="D9D9D9" w:themeFill="background1" w:themeFillShade="D9"/>
                </w:tcPr>
                <w:p w14:paraId="5575C69D" w14:textId="77777777" w:rsidR="00C058D1" w:rsidRPr="00AF4B3F" w:rsidRDefault="00C058D1" w:rsidP="00C058D1">
                  <w:pPr>
                    <w:pStyle w:val="NoSpacing"/>
                    <w:jc w:val="center"/>
                    <w:rPr>
                      <w:rFonts w:asciiTheme="minorHAnsi" w:hAnsiTheme="minorHAnsi" w:cstheme="minorHAnsi"/>
                      <w:b/>
                      <w:bCs/>
                      <w:noProof/>
                      <w:sz w:val="20"/>
                      <w:szCs w:val="20"/>
                    </w:rPr>
                  </w:pPr>
                  <w:r w:rsidRPr="00AF4B3F">
                    <w:rPr>
                      <w:rFonts w:asciiTheme="minorHAnsi" w:hAnsiTheme="minorHAnsi" w:cstheme="minorHAnsi"/>
                      <w:b/>
                      <w:bCs/>
                      <w:noProof/>
                      <w:sz w:val="20"/>
                      <w:szCs w:val="20"/>
                    </w:rPr>
                    <w:t>3</w:t>
                  </w:r>
                </w:p>
              </w:tc>
              <w:tc>
                <w:tcPr>
                  <w:tcW w:w="784" w:type="dxa"/>
                </w:tcPr>
                <w:p w14:paraId="22514D3A" w14:textId="53F805D8" w:rsidR="00C058D1" w:rsidRPr="00AF4B3F" w:rsidRDefault="005C657F" w:rsidP="00C058D1">
                  <w:pPr>
                    <w:pStyle w:val="NoSpacing"/>
                    <w:jc w:val="center"/>
                    <w:rPr>
                      <w:rFonts w:asciiTheme="minorHAnsi" w:hAnsiTheme="minorHAnsi" w:cstheme="minorHAnsi"/>
                      <w:noProof/>
                      <w:sz w:val="20"/>
                      <w:szCs w:val="20"/>
                    </w:rPr>
                  </w:pPr>
                  <w:r>
                    <w:rPr>
                      <w:rFonts w:asciiTheme="minorHAnsi" w:hAnsiTheme="minorHAnsi" w:cstheme="minorHAnsi"/>
                      <w:noProof/>
                      <w:sz w:val="20"/>
                      <w:szCs w:val="20"/>
                    </w:rPr>
                    <w:t>9.1%</w:t>
                  </w:r>
                </w:p>
              </w:tc>
              <w:tc>
                <w:tcPr>
                  <w:tcW w:w="1205" w:type="dxa"/>
                </w:tcPr>
                <w:p w14:paraId="240C7BE5" w14:textId="5C3C7AD8" w:rsidR="00C058D1" w:rsidRPr="00AF4B3F" w:rsidRDefault="00C242DD" w:rsidP="00C058D1">
                  <w:pPr>
                    <w:pStyle w:val="NoSpacing"/>
                    <w:jc w:val="center"/>
                    <w:rPr>
                      <w:rFonts w:asciiTheme="minorHAnsi" w:hAnsiTheme="minorHAnsi" w:cstheme="minorHAnsi"/>
                      <w:noProof/>
                      <w:sz w:val="20"/>
                      <w:szCs w:val="20"/>
                    </w:rPr>
                  </w:pPr>
                  <w:r>
                    <w:rPr>
                      <w:rFonts w:asciiTheme="minorHAnsi" w:hAnsiTheme="minorHAnsi" w:cstheme="minorHAnsi"/>
                      <w:noProof/>
                      <w:sz w:val="20"/>
                      <w:szCs w:val="20"/>
                    </w:rPr>
                    <w:t>12.5%</w:t>
                  </w:r>
                </w:p>
              </w:tc>
              <w:tc>
                <w:tcPr>
                  <w:tcW w:w="773" w:type="dxa"/>
                </w:tcPr>
                <w:p w14:paraId="0DF9C128" w14:textId="47281938" w:rsidR="00C058D1" w:rsidRPr="004A59AF" w:rsidRDefault="004A59AF" w:rsidP="00C058D1">
                  <w:pPr>
                    <w:pStyle w:val="NoSpacing"/>
                    <w:jc w:val="center"/>
                    <w:rPr>
                      <w:rFonts w:asciiTheme="minorHAnsi" w:hAnsiTheme="minorHAnsi" w:cstheme="minorHAnsi"/>
                      <w:noProof/>
                      <w:color w:val="00B050"/>
                      <w:sz w:val="20"/>
                      <w:szCs w:val="20"/>
                    </w:rPr>
                  </w:pPr>
                  <w:r w:rsidRPr="004A59AF">
                    <w:rPr>
                      <w:rFonts w:asciiTheme="minorHAnsi" w:hAnsiTheme="minorHAnsi" w:cstheme="minorHAnsi"/>
                      <w:noProof/>
                      <w:color w:val="00B050"/>
                      <w:sz w:val="20"/>
                      <w:szCs w:val="20"/>
                    </w:rPr>
                    <w:t>-3.4</w:t>
                  </w:r>
                  <w:r w:rsidR="00716A53">
                    <w:rPr>
                      <w:rFonts w:asciiTheme="minorHAnsi" w:hAnsiTheme="minorHAnsi" w:cstheme="minorHAnsi"/>
                      <w:noProof/>
                      <w:color w:val="00B050"/>
                      <w:sz w:val="20"/>
                      <w:szCs w:val="20"/>
                    </w:rPr>
                    <w:t>%</w:t>
                  </w:r>
                </w:p>
              </w:tc>
            </w:tr>
            <w:tr w:rsidR="00C058D1" w14:paraId="119E9FE6" w14:textId="77777777" w:rsidTr="00C058D1">
              <w:tc>
                <w:tcPr>
                  <w:tcW w:w="898" w:type="dxa"/>
                  <w:shd w:val="clear" w:color="auto" w:fill="D9D9D9" w:themeFill="background1" w:themeFillShade="D9"/>
                </w:tcPr>
                <w:p w14:paraId="159F5175" w14:textId="77777777" w:rsidR="00C058D1" w:rsidRPr="00AF4B3F" w:rsidRDefault="00C058D1" w:rsidP="00C058D1">
                  <w:pPr>
                    <w:pStyle w:val="NoSpacing"/>
                    <w:jc w:val="center"/>
                    <w:rPr>
                      <w:rFonts w:asciiTheme="minorHAnsi" w:hAnsiTheme="minorHAnsi" w:cstheme="minorHAnsi"/>
                      <w:b/>
                      <w:bCs/>
                      <w:noProof/>
                      <w:sz w:val="20"/>
                      <w:szCs w:val="20"/>
                    </w:rPr>
                  </w:pPr>
                  <w:r w:rsidRPr="00AF4B3F">
                    <w:rPr>
                      <w:rFonts w:asciiTheme="minorHAnsi" w:hAnsiTheme="minorHAnsi" w:cstheme="minorHAnsi"/>
                      <w:b/>
                      <w:bCs/>
                      <w:noProof/>
                      <w:sz w:val="20"/>
                      <w:szCs w:val="20"/>
                    </w:rPr>
                    <w:t>4</w:t>
                  </w:r>
                </w:p>
              </w:tc>
              <w:tc>
                <w:tcPr>
                  <w:tcW w:w="784" w:type="dxa"/>
                </w:tcPr>
                <w:p w14:paraId="1C04BA71" w14:textId="33C1D53F" w:rsidR="00C058D1" w:rsidRPr="00AF4B3F" w:rsidRDefault="00C230CF" w:rsidP="00C058D1">
                  <w:pPr>
                    <w:pStyle w:val="NoSpacing"/>
                    <w:jc w:val="center"/>
                    <w:rPr>
                      <w:rFonts w:asciiTheme="minorHAnsi" w:hAnsiTheme="minorHAnsi" w:cstheme="minorHAnsi"/>
                      <w:noProof/>
                      <w:sz w:val="20"/>
                      <w:szCs w:val="20"/>
                    </w:rPr>
                  </w:pPr>
                  <w:r>
                    <w:rPr>
                      <w:rFonts w:asciiTheme="minorHAnsi" w:hAnsiTheme="minorHAnsi" w:cstheme="minorHAnsi"/>
                      <w:noProof/>
                      <w:sz w:val="20"/>
                      <w:szCs w:val="20"/>
                    </w:rPr>
                    <w:t>10.0%</w:t>
                  </w:r>
                </w:p>
              </w:tc>
              <w:tc>
                <w:tcPr>
                  <w:tcW w:w="1205" w:type="dxa"/>
                </w:tcPr>
                <w:p w14:paraId="7C7138B8" w14:textId="47C2D19D" w:rsidR="00C058D1" w:rsidRPr="00AF4B3F" w:rsidRDefault="00C242DD" w:rsidP="00C058D1">
                  <w:pPr>
                    <w:pStyle w:val="NoSpacing"/>
                    <w:jc w:val="center"/>
                    <w:rPr>
                      <w:rFonts w:asciiTheme="minorHAnsi" w:hAnsiTheme="minorHAnsi" w:cstheme="minorHAnsi"/>
                      <w:noProof/>
                      <w:sz w:val="20"/>
                      <w:szCs w:val="20"/>
                    </w:rPr>
                  </w:pPr>
                  <w:r>
                    <w:rPr>
                      <w:rFonts w:asciiTheme="minorHAnsi" w:hAnsiTheme="minorHAnsi" w:cstheme="minorHAnsi"/>
                      <w:noProof/>
                      <w:sz w:val="20"/>
                      <w:szCs w:val="20"/>
                    </w:rPr>
                    <w:t>0%</w:t>
                  </w:r>
                </w:p>
              </w:tc>
              <w:tc>
                <w:tcPr>
                  <w:tcW w:w="773" w:type="dxa"/>
                </w:tcPr>
                <w:p w14:paraId="1E99E97A" w14:textId="0BD00A4E" w:rsidR="00C058D1" w:rsidRPr="00334EDB" w:rsidRDefault="00716A53" w:rsidP="00C058D1">
                  <w:pPr>
                    <w:pStyle w:val="NoSpacing"/>
                    <w:jc w:val="center"/>
                    <w:rPr>
                      <w:rFonts w:asciiTheme="minorHAnsi" w:hAnsiTheme="minorHAnsi" w:cstheme="minorHAnsi"/>
                      <w:noProof/>
                      <w:sz w:val="20"/>
                      <w:szCs w:val="20"/>
                    </w:rPr>
                  </w:pPr>
                  <w:r>
                    <w:rPr>
                      <w:rFonts w:asciiTheme="minorHAnsi" w:hAnsiTheme="minorHAnsi" w:cstheme="minorHAnsi"/>
                      <w:noProof/>
                      <w:color w:val="FF0000"/>
                      <w:sz w:val="20"/>
                      <w:szCs w:val="20"/>
                    </w:rPr>
                    <w:t>+10.0%</w:t>
                  </w:r>
                </w:p>
              </w:tc>
            </w:tr>
            <w:tr w:rsidR="00C058D1" w14:paraId="5D297EFC" w14:textId="77777777" w:rsidTr="00C058D1">
              <w:tc>
                <w:tcPr>
                  <w:tcW w:w="898" w:type="dxa"/>
                  <w:shd w:val="clear" w:color="auto" w:fill="D9D9D9" w:themeFill="background1" w:themeFillShade="D9"/>
                </w:tcPr>
                <w:p w14:paraId="0D690556" w14:textId="77777777" w:rsidR="00C058D1" w:rsidRPr="00AF4B3F" w:rsidRDefault="00C058D1" w:rsidP="00C058D1">
                  <w:pPr>
                    <w:pStyle w:val="NoSpacing"/>
                    <w:jc w:val="center"/>
                    <w:rPr>
                      <w:rFonts w:asciiTheme="minorHAnsi" w:hAnsiTheme="minorHAnsi" w:cstheme="minorHAnsi"/>
                      <w:b/>
                      <w:bCs/>
                      <w:noProof/>
                      <w:sz w:val="20"/>
                      <w:szCs w:val="20"/>
                    </w:rPr>
                  </w:pPr>
                  <w:r w:rsidRPr="00AF4B3F">
                    <w:rPr>
                      <w:rFonts w:asciiTheme="minorHAnsi" w:hAnsiTheme="minorHAnsi" w:cstheme="minorHAnsi"/>
                      <w:b/>
                      <w:bCs/>
                      <w:noProof/>
                      <w:sz w:val="20"/>
                      <w:szCs w:val="20"/>
                    </w:rPr>
                    <w:t>5</w:t>
                  </w:r>
                </w:p>
              </w:tc>
              <w:tc>
                <w:tcPr>
                  <w:tcW w:w="784" w:type="dxa"/>
                </w:tcPr>
                <w:p w14:paraId="10FE725C" w14:textId="64319B1D" w:rsidR="00C058D1" w:rsidRPr="00AF4B3F" w:rsidRDefault="00C230CF" w:rsidP="00C058D1">
                  <w:pPr>
                    <w:pStyle w:val="NoSpacing"/>
                    <w:jc w:val="center"/>
                    <w:rPr>
                      <w:rFonts w:asciiTheme="minorHAnsi" w:hAnsiTheme="minorHAnsi" w:cstheme="minorHAnsi"/>
                      <w:noProof/>
                      <w:sz w:val="20"/>
                      <w:szCs w:val="20"/>
                    </w:rPr>
                  </w:pPr>
                  <w:r>
                    <w:rPr>
                      <w:rFonts w:asciiTheme="minorHAnsi" w:hAnsiTheme="minorHAnsi" w:cstheme="minorHAnsi"/>
                      <w:noProof/>
                      <w:sz w:val="20"/>
                      <w:szCs w:val="20"/>
                    </w:rPr>
                    <w:t>10.0%</w:t>
                  </w:r>
                </w:p>
              </w:tc>
              <w:tc>
                <w:tcPr>
                  <w:tcW w:w="1205" w:type="dxa"/>
                </w:tcPr>
                <w:p w14:paraId="0C75FD28" w14:textId="7E5EFC35" w:rsidR="00C058D1" w:rsidRPr="00AF4B3F" w:rsidRDefault="005935A6" w:rsidP="00C058D1">
                  <w:pPr>
                    <w:pStyle w:val="NoSpacing"/>
                    <w:jc w:val="center"/>
                    <w:rPr>
                      <w:rFonts w:asciiTheme="minorHAnsi" w:hAnsiTheme="minorHAnsi" w:cstheme="minorHAnsi"/>
                      <w:noProof/>
                      <w:sz w:val="20"/>
                      <w:szCs w:val="20"/>
                    </w:rPr>
                  </w:pPr>
                  <w:r>
                    <w:rPr>
                      <w:rFonts w:asciiTheme="minorHAnsi" w:hAnsiTheme="minorHAnsi" w:cstheme="minorHAnsi"/>
                      <w:noProof/>
                      <w:sz w:val="20"/>
                      <w:szCs w:val="20"/>
                    </w:rPr>
                    <w:t>20%</w:t>
                  </w:r>
                </w:p>
              </w:tc>
              <w:tc>
                <w:tcPr>
                  <w:tcW w:w="773" w:type="dxa"/>
                </w:tcPr>
                <w:p w14:paraId="257D90D2" w14:textId="2483C756" w:rsidR="00C058D1" w:rsidRPr="00021424" w:rsidRDefault="00716A53" w:rsidP="00C058D1">
                  <w:pPr>
                    <w:pStyle w:val="NoSpacing"/>
                    <w:jc w:val="center"/>
                    <w:rPr>
                      <w:rFonts w:asciiTheme="minorHAnsi" w:hAnsiTheme="minorHAnsi" w:cstheme="minorHAnsi"/>
                      <w:noProof/>
                      <w:sz w:val="20"/>
                      <w:szCs w:val="20"/>
                      <w:highlight w:val="yellow"/>
                    </w:rPr>
                  </w:pPr>
                  <w:r w:rsidRPr="00716A53">
                    <w:rPr>
                      <w:rFonts w:asciiTheme="minorHAnsi" w:hAnsiTheme="minorHAnsi" w:cstheme="minorHAnsi"/>
                      <w:noProof/>
                      <w:color w:val="00B050"/>
                      <w:sz w:val="20"/>
                      <w:szCs w:val="20"/>
                    </w:rPr>
                    <w:t>-10%</w:t>
                  </w:r>
                </w:p>
              </w:tc>
            </w:tr>
            <w:tr w:rsidR="00C058D1" w14:paraId="200CB670" w14:textId="77777777" w:rsidTr="00C058D1">
              <w:tc>
                <w:tcPr>
                  <w:tcW w:w="898" w:type="dxa"/>
                  <w:shd w:val="clear" w:color="auto" w:fill="D9D9D9" w:themeFill="background1" w:themeFillShade="D9"/>
                </w:tcPr>
                <w:p w14:paraId="1BF97A51" w14:textId="77777777" w:rsidR="00C058D1" w:rsidRPr="00AF4B3F" w:rsidRDefault="00C058D1" w:rsidP="00C058D1">
                  <w:pPr>
                    <w:pStyle w:val="NoSpacing"/>
                    <w:jc w:val="center"/>
                    <w:rPr>
                      <w:rFonts w:asciiTheme="minorHAnsi" w:hAnsiTheme="minorHAnsi" w:cstheme="minorHAnsi"/>
                      <w:b/>
                      <w:bCs/>
                      <w:noProof/>
                      <w:sz w:val="20"/>
                      <w:szCs w:val="20"/>
                    </w:rPr>
                  </w:pPr>
                  <w:r w:rsidRPr="00AF4B3F">
                    <w:rPr>
                      <w:rFonts w:asciiTheme="minorHAnsi" w:hAnsiTheme="minorHAnsi" w:cstheme="minorHAnsi"/>
                      <w:b/>
                      <w:bCs/>
                      <w:noProof/>
                      <w:sz w:val="20"/>
                      <w:szCs w:val="20"/>
                    </w:rPr>
                    <w:t>6</w:t>
                  </w:r>
                </w:p>
              </w:tc>
              <w:tc>
                <w:tcPr>
                  <w:tcW w:w="784" w:type="dxa"/>
                </w:tcPr>
                <w:p w14:paraId="4CD63710" w14:textId="45501018" w:rsidR="00C058D1" w:rsidRPr="00AF4B3F" w:rsidRDefault="00C242DD" w:rsidP="00C058D1">
                  <w:pPr>
                    <w:pStyle w:val="NoSpacing"/>
                    <w:jc w:val="center"/>
                    <w:rPr>
                      <w:rFonts w:asciiTheme="minorHAnsi" w:hAnsiTheme="minorHAnsi" w:cstheme="minorHAnsi"/>
                      <w:noProof/>
                      <w:sz w:val="20"/>
                      <w:szCs w:val="20"/>
                    </w:rPr>
                  </w:pPr>
                  <w:r>
                    <w:rPr>
                      <w:rFonts w:asciiTheme="minorHAnsi" w:hAnsiTheme="minorHAnsi" w:cstheme="minorHAnsi"/>
                      <w:noProof/>
                      <w:sz w:val="20"/>
                      <w:szCs w:val="20"/>
                    </w:rPr>
                    <w:t>10.5%</w:t>
                  </w:r>
                </w:p>
              </w:tc>
              <w:tc>
                <w:tcPr>
                  <w:tcW w:w="1205" w:type="dxa"/>
                </w:tcPr>
                <w:p w14:paraId="510B3F26" w14:textId="1177212F" w:rsidR="00C058D1" w:rsidRPr="00AF4B3F" w:rsidRDefault="005935A6" w:rsidP="00C058D1">
                  <w:pPr>
                    <w:pStyle w:val="NoSpacing"/>
                    <w:jc w:val="center"/>
                    <w:rPr>
                      <w:rFonts w:asciiTheme="minorHAnsi" w:hAnsiTheme="minorHAnsi" w:cstheme="minorHAnsi"/>
                      <w:noProof/>
                      <w:sz w:val="20"/>
                      <w:szCs w:val="20"/>
                    </w:rPr>
                  </w:pPr>
                  <w:r>
                    <w:rPr>
                      <w:rFonts w:asciiTheme="minorHAnsi" w:hAnsiTheme="minorHAnsi" w:cstheme="minorHAnsi"/>
                      <w:noProof/>
                      <w:sz w:val="20"/>
                      <w:szCs w:val="20"/>
                    </w:rPr>
                    <w:t>9.1%</w:t>
                  </w:r>
                </w:p>
              </w:tc>
              <w:tc>
                <w:tcPr>
                  <w:tcW w:w="773" w:type="dxa"/>
                </w:tcPr>
                <w:p w14:paraId="37826295" w14:textId="1F9A3EA8" w:rsidR="00C058D1" w:rsidRPr="00021424" w:rsidRDefault="003855D1" w:rsidP="00C058D1">
                  <w:pPr>
                    <w:pStyle w:val="NoSpacing"/>
                    <w:jc w:val="center"/>
                    <w:rPr>
                      <w:rFonts w:asciiTheme="minorHAnsi" w:hAnsiTheme="minorHAnsi" w:cstheme="minorHAnsi"/>
                      <w:noProof/>
                      <w:sz w:val="20"/>
                      <w:szCs w:val="20"/>
                      <w:highlight w:val="yellow"/>
                    </w:rPr>
                  </w:pPr>
                  <w:r w:rsidRPr="003855D1">
                    <w:rPr>
                      <w:rFonts w:asciiTheme="minorHAnsi" w:hAnsiTheme="minorHAnsi" w:cstheme="minorHAnsi"/>
                      <w:noProof/>
                      <w:color w:val="FF0000"/>
                      <w:sz w:val="20"/>
                      <w:szCs w:val="20"/>
                    </w:rPr>
                    <w:t>+1.4%</w:t>
                  </w:r>
                </w:p>
              </w:tc>
            </w:tr>
            <w:tr w:rsidR="00C058D1" w14:paraId="21220D7E" w14:textId="77777777" w:rsidTr="00C058D1">
              <w:tc>
                <w:tcPr>
                  <w:tcW w:w="898" w:type="dxa"/>
                  <w:shd w:val="clear" w:color="auto" w:fill="D9D9D9" w:themeFill="background1" w:themeFillShade="D9"/>
                </w:tcPr>
                <w:p w14:paraId="22BFA508" w14:textId="77777777" w:rsidR="00C058D1" w:rsidRPr="00CA27ED" w:rsidRDefault="00C058D1" w:rsidP="00C058D1">
                  <w:pPr>
                    <w:pStyle w:val="NoSpacing"/>
                    <w:jc w:val="center"/>
                    <w:rPr>
                      <w:rFonts w:asciiTheme="minorHAnsi" w:hAnsiTheme="minorHAnsi" w:cstheme="minorHAnsi"/>
                      <w:b/>
                      <w:bCs/>
                      <w:noProof/>
                      <w:sz w:val="20"/>
                      <w:szCs w:val="20"/>
                    </w:rPr>
                  </w:pPr>
                  <w:r w:rsidRPr="00CA27ED">
                    <w:rPr>
                      <w:rFonts w:asciiTheme="minorHAnsi" w:hAnsiTheme="minorHAnsi" w:cstheme="minorHAnsi"/>
                      <w:b/>
                      <w:bCs/>
                      <w:noProof/>
                      <w:sz w:val="20"/>
                      <w:szCs w:val="20"/>
                    </w:rPr>
                    <w:t>Average</w:t>
                  </w:r>
                </w:p>
              </w:tc>
              <w:tc>
                <w:tcPr>
                  <w:tcW w:w="784" w:type="dxa"/>
                </w:tcPr>
                <w:p w14:paraId="2D2ADC2E" w14:textId="293539E9" w:rsidR="00C058D1" w:rsidRPr="00CA27ED" w:rsidRDefault="00136B09" w:rsidP="00C058D1">
                  <w:pPr>
                    <w:pStyle w:val="NoSpacing"/>
                    <w:jc w:val="center"/>
                    <w:rPr>
                      <w:rFonts w:asciiTheme="minorHAnsi" w:hAnsiTheme="minorHAnsi" w:cstheme="minorHAnsi"/>
                      <w:b/>
                      <w:bCs/>
                      <w:noProof/>
                      <w:sz w:val="20"/>
                      <w:szCs w:val="20"/>
                    </w:rPr>
                  </w:pPr>
                  <w:r>
                    <w:rPr>
                      <w:rFonts w:asciiTheme="minorHAnsi" w:hAnsiTheme="minorHAnsi" w:cstheme="minorHAnsi"/>
                      <w:b/>
                      <w:bCs/>
                      <w:noProof/>
                      <w:sz w:val="20"/>
                      <w:szCs w:val="20"/>
                    </w:rPr>
                    <w:t>11.3%</w:t>
                  </w:r>
                </w:p>
              </w:tc>
              <w:tc>
                <w:tcPr>
                  <w:tcW w:w="1205" w:type="dxa"/>
                </w:tcPr>
                <w:p w14:paraId="604D93FF" w14:textId="4EC41F16" w:rsidR="00C058D1" w:rsidRPr="00CA27ED" w:rsidRDefault="00136B09" w:rsidP="00C058D1">
                  <w:pPr>
                    <w:pStyle w:val="NoSpacing"/>
                    <w:jc w:val="center"/>
                    <w:rPr>
                      <w:rFonts w:asciiTheme="minorHAnsi" w:hAnsiTheme="minorHAnsi" w:cstheme="minorHAnsi"/>
                      <w:b/>
                      <w:bCs/>
                      <w:noProof/>
                      <w:sz w:val="20"/>
                      <w:szCs w:val="20"/>
                    </w:rPr>
                  </w:pPr>
                  <w:r>
                    <w:rPr>
                      <w:rFonts w:asciiTheme="minorHAnsi" w:hAnsiTheme="minorHAnsi" w:cstheme="minorHAnsi"/>
                      <w:b/>
                      <w:bCs/>
                      <w:noProof/>
                      <w:sz w:val="20"/>
                      <w:szCs w:val="20"/>
                    </w:rPr>
                    <w:t>11.9%</w:t>
                  </w:r>
                </w:p>
              </w:tc>
              <w:tc>
                <w:tcPr>
                  <w:tcW w:w="773" w:type="dxa"/>
                </w:tcPr>
                <w:p w14:paraId="1B337BD3" w14:textId="02480F1D" w:rsidR="00C058D1" w:rsidRPr="00A613DE" w:rsidRDefault="00136B09" w:rsidP="00C058D1">
                  <w:pPr>
                    <w:pStyle w:val="NoSpacing"/>
                    <w:jc w:val="center"/>
                    <w:rPr>
                      <w:rFonts w:asciiTheme="minorHAnsi" w:hAnsiTheme="minorHAnsi" w:cstheme="minorHAnsi"/>
                      <w:b/>
                      <w:bCs/>
                      <w:noProof/>
                      <w:sz w:val="20"/>
                      <w:szCs w:val="20"/>
                    </w:rPr>
                  </w:pPr>
                  <w:r w:rsidRPr="00A613DE">
                    <w:rPr>
                      <w:rFonts w:asciiTheme="minorHAnsi" w:hAnsiTheme="minorHAnsi" w:cstheme="minorHAnsi"/>
                      <w:b/>
                      <w:bCs/>
                      <w:noProof/>
                      <w:color w:val="00B050"/>
                      <w:sz w:val="20"/>
                      <w:szCs w:val="20"/>
                    </w:rPr>
                    <w:t>-</w:t>
                  </w:r>
                  <w:r w:rsidR="00A613DE" w:rsidRPr="00A613DE">
                    <w:rPr>
                      <w:rFonts w:asciiTheme="minorHAnsi" w:hAnsiTheme="minorHAnsi" w:cstheme="minorHAnsi"/>
                      <w:b/>
                      <w:bCs/>
                      <w:noProof/>
                      <w:color w:val="00B050"/>
                      <w:sz w:val="20"/>
                      <w:szCs w:val="20"/>
                    </w:rPr>
                    <w:t>0.6%</w:t>
                  </w:r>
                </w:p>
              </w:tc>
            </w:tr>
          </w:tbl>
          <w:p w14:paraId="0FFF99A4" w14:textId="77777777" w:rsidR="00BD3AF0" w:rsidRPr="00236B6E" w:rsidRDefault="00BD3AF0" w:rsidP="00BD3AF0">
            <w:pPr>
              <w:pStyle w:val="NoSpacing"/>
              <w:rPr>
                <w:noProof/>
                <w:sz w:val="20"/>
                <w:szCs w:val="20"/>
                <w:highlight w:val="yellow"/>
              </w:rPr>
            </w:pPr>
          </w:p>
          <w:p w14:paraId="747036DB" w14:textId="77777777" w:rsidR="00BD3AF0" w:rsidRPr="00236B6E" w:rsidRDefault="00BD3AF0" w:rsidP="00BD3AF0">
            <w:pPr>
              <w:pStyle w:val="NoSpacing"/>
              <w:rPr>
                <w:noProof/>
                <w:sz w:val="20"/>
                <w:szCs w:val="20"/>
                <w:highlight w:val="yellow"/>
              </w:rPr>
            </w:pPr>
          </w:p>
        </w:tc>
      </w:tr>
      <w:tr w:rsidR="007D01D6" w14:paraId="6D8763FB" w14:textId="77777777" w:rsidTr="00533110">
        <w:tc>
          <w:tcPr>
            <w:tcW w:w="2106" w:type="dxa"/>
          </w:tcPr>
          <w:p w14:paraId="294E153D" w14:textId="5239B013" w:rsidR="00BD3AF0" w:rsidRPr="00C157E6" w:rsidRDefault="00BD3AF0" w:rsidP="004231C9">
            <w:pPr>
              <w:pStyle w:val="TableRow"/>
              <w:rPr>
                <w:sz w:val="20"/>
                <w:szCs w:val="20"/>
              </w:rPr>
            </w:pPr>
            <w:r>
              <w:rPr>
                <w:sz w:val="22"/>
                <w:szCs w:val="22"/>
              </w:rPr>
              <w:t>To improve mental health and wellbeing for all pupils in school, which ultimately has an overall impact on the behaviour of pupils across school.</w:t>
            </w:r>
          </w:p>
        </w:tc>
        <w:tc>
          <w:tcPr>
            <w:tcW w:w="3958" w:type="dxa"/>
          </w:tcPr>
          <w:p w14:paraId="360A4C84" w14:textId="77777777" w:rsidR="00BD3AF0" w:rsidRPr="004231C9" w:rsidRDefault="00BD3AF0" w:rsidP="00BD3AF0">
            <w:pPr>
              <w:pStyle w:val="ListParagraph"/>
              <w:numPr>
                <w:ilvl w:val="0"/>
                <w:numId w:val="24"/>
              </w:numPr>
              <w:ind w:left="172" w:hanging="142"/>
              <w:rPr>
                <w:sz w:val="20"/>
                <w:szCs w:val="20"/>
              </w:rPr>
            </w:pPr>
            <w:r w:rsidRPr="004231C9">
              <w:rPr>
                <w:sz w:val="20"/>
                <w:szCs w:val="20"/>
              </w:rPr>
              <w:t xml:space="preserve">Mental health and wellbeing are addressed through our PSHE curriculum using Coram Life Education as a basis. </w:t>
            </w:r>
          </w:p>
          <w:p w14:paraId="6531F5E8" w14:textId="0AC4C121" w:rsidR="00BD3AF0" w:rsidRPr="004231C9" w:rsidRDefault="00BD3AF0" w:rsidP="00BD3AF0">
            <w:pPr>
              <w:pStyle w:val="ListParagraph"/>
              <w:numPr>
                <w:ilvl w:val="0"/>
                <w:numId w:val="24"/>
              </w:numPr>
              <w:ind w:left="172" w:hanging="142"/>
              <w:rPr>
                <w:sz w:val="20"/>
                <w:szCs w:val="20"/>
              </w:rPr>
            </w:pPr>
            <w:r w:rsidRPr="004231C9">
              <w:rPr>
                <w:sz w:val="20"/>
                <w:szCs w:val="20"/>
              </w:rPr>
              <w:t xml:space="preserve">Counsellor in school one afternoon per week to provide targeted sessions </w:t>
            </w:r>
          </w:p>
          <w:p w14:paraId="0EEBC614" w14:textId="77777777" w:rsidR="00BD3AF0" w:rsidRPr="004231C9" w:rsidRDefault="00BD3AF0" w:rsidP="00BD3AF0">
            <w:pPr>
              <w:pStyle w:val="ListParagraph"/>
              <w:numPr>
                <w:ilvl w:val="0"/>
                <w:numId w:val="24"/>
              </w:numPr>
              <w:ind w:left="172" w:hanging="142"/>
              <w:rPr>
                <w:sz w:val="20"/>
                <w:szCs w:val="20"/>
              </w:rPr>
            </w:pPr>
            <w:r w:rsidRPr="004231C9">
              <w:rPr>
                <w:sz w:val="20"/>
                <w:szCs w:val="20"/>
              </w:rPr>
              <w:t>Mental health ambassadors within school</w:t>
            </w:r>
          </w:p>
          <w:p w14:paraId="33917E08" w14:textId="7C85AEB6" w:rsidR="00BD3AF0" w:rsidRPr="004231C9" w:rsidRDefault="00BD3AF0" w:rsidP="004231C9">
            <w:pPr>
              <w:rPr>
                <w:sz w:val="20"/>
                <w:szCs w:val="20"/>
              </w:rPr>
            </w:pPr>
          </w:p>
        </w:tc>
        <w:tc>
          <w:tcPr>
            <w:tcW w:w="8496" w:type="dxa"/>
          </w:tcPr>
          <w:p w14:paraId="023975BC" w14:textId="2D073512" w:rsidR="00BD3AF0" w:rsidRPr="003D4FB0" w:rsidRDefault="00BD3AF0" w:rsidP="00BD3AF0">
            <w:pPr>
              <w:pStyle w:val="NoSpacing"/>
              <w:rPr>
                <w:noProof/>
                <w:sz w:val="20"/>
                <w:szCs w:val="20"/>
              </w:rPr>
            </w:pPr>
            <w:r w:rsidRPr="003D4FB0">
              <w:rPr>
                <w:noProof/>
                <w:sz w:val="20"/>
                <w:szCs w:val="20"/>
              </w:rPr>
              <w:t>6 pupils accessed the school counsellor</w:t>
            </w:r>
            <w:r w:rsidR="00715C18" w:rsidRPr="003D4FB0">
              <w:rPr>
                <w:noProof/>
                <w:sz w:val="20"/>
                <w:szCs w:val="20"/>
              </w:rPr>
              <w:t xml:space="preserve">, 5 </w:t>
            </w:r>
            <w:r w:rsidRPr="003D4FB0">
              <w:rPr>
                <w:noProof/>
                <w:sz w:val="20"/>
                <w:szCs w:val="20"/>
              </w:rPr>
              <w:t xml:space="preserve">of which </w:t>
            </w:r>
            <w:r w:rsidR="00715C18" w:rsidRPr="003D4FB0">
              <w:rPr>
                <w:noProof/>
                <w:sz w:val="20"/>
                <w:szCs w:val="20"/>
              </w:rPr>
              <w:t>ere</w:t>
            </w:r>
            <w:r w:rsidRPr="003D4FB0">
              <w:rPr>
                <w:noProof/>
                <w:sz w:val="20"/>
                <w:szCs w:val="20"/>
              </w:rPr>
              <w:t xml:space="preserve"> pupil premiuim pupils.  Of the pupils who have completed their sessions, all have seen a</w:t>
            </w:r>
            <w:r w:rsidR="00715C18" w:rsidRPr="003D4FB0">
              <w:rPr>
                <w:noProof/>
                <w:sz w:val="20"/>
                <w:szCs w:val="20"/>
              </w:rPr>
              <w:t xml:space="preserve">n </w:t>
            </w:r>
            <w:r w:rsidRPr="003D4FB0">
              <w:rPr>
                <w:noProof/>
                <w:sz w:val="20"/>
                <w:szCs w:val="20"/>
              </w:rPr>
              <w:t>improvement.  This extends to behaviour choices within the classroom too.</w:t>
            </w:r>
          </w:p>
          <w:p w14:paraId="103E367C" w14:textId="77777777" w:rsidR="00BD3AF0" w:rsidRPr="003D4FB0" w:rsidRDefault="00BD3AF0" w:rsidP="00BD3AF0">
            <w:pPr>
              <w:pStyle w:val="NoSpacing"/>
              <w:rPr>
                <w:noProof/>
                <w:sz w:val="20"/>
                <w:szCs w:val="20"/>
              </w:rPr>
            </w:pPr>
          </w:p>
          <w:p w14:paraId="5DED7B6D" w14:textId="77777777" w:rsidR="00BD3AF0" w:rsidRPr="003D4FB0" w:rsidRDefault="00BD3AF0" w:rsidP="00BD3AF0">
            <w:pPr>
              <w:pStyle w:val="NoSpacing"/>
              <w:rPr>
                <w:noProof/>
                <w:sz w:val="20"/>
                <w:szCs w:val="20"/>
              </w:rPr>
            </w:pPr>
          </w:p>
          <w:p w14:paraId="387121E4" w14:textId="77777777" w:rsidR="00BD3AF0" w:rsidRDefault="00BD3AF0" w:rsidP="00BD3AF0">
            <w:pPr>
              <w:pStyle w:val="NoSpacing"/>
              <w:rPr>
                <w:noProof/>
                <w:sz w:val="20"/>
                <w:szCs w:val="20"/>
              </w:rPr>
            </w:pPr>
            <w:r w:rsidRPr="003D4FB0">
              <w:rPr>
                <w:noProof/>
                <w:sz w:val="20"/>
                <w:szCs w:val="20"/>
              </w:rPr>
              <w:t>Book scrutiny and lesson observations in PSHE shows a consistent approach to quality first teaching in this area of the curriculum.  Pupils are able to articulate what being mentally healthy means and can give ideas of how to keep mentally well.</w:t>
            </w:r>
          </w:p>
          <w:p w14:paraId="7EAE760B" w14:textId="77777777" w:rsidR="004231C9" w:rsidRDefault="004231C9" w:rsidP="004231C9">
            <w:pPr>
              <w:pStyle w:val="NoSpacing"/>
              <w:rPr>
                <w:noProof/>
                <w:sz w:val="20"/>
                <w:szCs w:val="20"/>
              </w:rPr>
            </w:pPr>
          </w:p>
          <w:p w14:paraId="0661AAD6" w14:textId="445B457D" w:rsidR="004231C9" w:rsidRPr="003D4FB0" w:rsidRDefault="004231C9" w:rsidP="004231C9">
            <w:pPr>
              <w:pStyle w:val="NoSpacing"/>
              <w:rPr>
                <w:noProof/>
                <w:sz w:val="20"/>
                <w:szCs w:val="20"/>
              </w:rPr>
            </w:pPr>
            <w:r>
              <w:rPr>
                <w:noProof/>
                <w:sz w:val="20"/>
                <w:szCs w:val="20"/>
              </w:rPr>
              <w:t xml:space="preserve">We continued to refer into the mental health support service throughout the year - </w:t>
            </w:r>
            <w:r w:rsidRPr="003D4FB0">
              <w:rPr>
                <w:noProof/>
                <w:sz w:val="20"/>
                <w:szCs w:val="20"/>
              </w:rPr>
              <w:t>5 referrals were made into the mental health support team.  Outcomes included: direct work; parent and child intervention; futher referrals to CAMHs.</w:t>
            </w:r>
          </w:p>
          <w:p w14:paraId="6F9CCD93" w14:textId="6BE39813" w:rsidR="003D4FB0" w:rsidRPr="00236B6E" w:rsidRDefault="003D4FB0" w:rsidP="00BD3AF0">
            <w:pPr>
              <w:pStyle w:val="NoSpacing"/>
              <w:rPr>
                <w:noProof/>
                <w:sz w:val="20"/>
                <w:szCs w:val="20"/>
                <w:highlight w:val="yellow"/>
              </w:rPr>
            </w:pPr>
          </w:p>
        </w:tc>
      </w:tr>
      <w:tr w:rsidR="007D01D6" w:rsidRPr="00C157E6" w14:paraId="74AF01C3" w14:textId="77777777" w:rsidTr="00533110">
        <w:tc>
          <w:tcPr>
            <w:tcW w:w="2106" w:type="dxa"/>
          </w:tcPr>
          <w:p w14:paraId="57E390E1" w14:textId="3D9AAC98" w:rsidR="00BD3AF0" w:rsidRPr="00C157E6" w:rsidRDefault="00BD3AF0" w:rsidP="004231C9">
            <w:pPr>
              <w:pStyle w:val="TableRow"/>
              <w:rPr>
                <w:sz w:val="20"/>
                <w:szCs w:val="20"/>
              </w:rPr>
            </w:pPr>
            <w:r>
              <w:rPr>
                <w:sz w:val="22"/>
                <w:szCs w:val="22"/>
              </w:rPr>
              <w:t>All disadvantaged Pupil Premium children take part and participate in enrichment activities that extend their school learning journey experience and cultural capital.</w:t>
            </w:r>
          </w:p>
        </w:tc>
        <w:tc>
          <w:tcPr>
            <w:tcW w:w="3958" w:type="dxa"/>
          </w:tcPr>
          <w:p w14:paraId="2FBE969B" w14:textId="77777777" w:rsidR="00BD3AF0" w:rsidRPr="003379ED" w:rsidRDefault="00BD3AF0" w:rsidP="00BD3AF0">
            <w:pPr>
              <w:pStyle w:val="ListParagraph"/>
              <w:numPr>
                <w:ilvl w:val="0"/>
                <w:numId w:val="24"/>
              </w:numPr>
              <w:ind w:left="172" w:hanging="142"/>
              <w:rPr>
                <w:sz w:val="20"/>
                <w:szCs w:val="20"/>
              </w:rPr>
            </w:pPr>
            <w:r w:rsidRPr="003379ED">
              <w:rPr>
                <w:sz w:val="20"/>
                <w:szCs w:val="20"/>
              </w:rPr>
              <w:t>Continued refinement of the development and implementation of the personal development offer across school.</w:t>
            </w:r>
          </w:p>
          <w:p w14:paraId="710227F6" w14:textId="77777777" w:rsidR="00BD3AF0" w:rsidRPr="003379ED" w:rsidRDefault="00BD3AF0" w:rsidP="00BD3AF0">
            <w:pPr>
              <w:pStyle w:val="ListParagraph"/>
              <w:numPr>
                <w:ilvl w:val="0"/>
                <w:numId w:val="24"/>
              </w:numPr>
              <w:ind w:left="172" w:hanging="142"/>
              <w:rPr>
                <w:sz w:val="20"/>
                <w:szCs w:val="20"/>
              </w:rPr>
            </w:pPr>
            <w:r w:rsidRPr="003379ED">
              <w:rPr>
                <w:sz w:val="20"/>
                <w:szCs w:val="20"/>
              </w:rPr>
              <w:t>Part funding the cost of trips, experiences and clubs</w:t>
            </w:r>
          </w:p>
          <w:p w14:paraId="6A92A5DE" w14:textId="77777777" w:rsidR="00BD3AF0" w:rsidRPr="003379ED" w:rsidRDefault="00BD3AF0" w:rsidP="00BD3AF0">
            <w:pPr>
              <w:pStyle w:val="ListParagraph"/>
              <w:numPr>
                <w:ilvl w:val="0"/>
                <w:numId w:val="24"/>
              </w:numPr>
              <w:ind w:left="172" w:hanging="142"/>
              <w:rPr>
                <w:sz w:val="20"/>
                <w:szCs w:val="20"/>
              </w:rPr>
            </w:pPr>
            <w:r w:rsidRPr="003379ED">
              <w:rPr>
                <w:sz w:val="20"/>
                <w:szCs w:val="20"/>
              </w:rPr>
              <w:t xml:space="preserve">Music tuition </w:t>
            </w:r>
          </w:p>
          <w:p w14:paraId="39359E74" w14:textId="77777777" w:rsidR="00BD3AF0" w:rsidRPr="003379ED" w:rsidRDefault="00BD3AF0" w:rsidP="00BD3AF0">
            <w:pPr>
              <w:pStyle w:val="ListParagraph"/>
              <w:numPr>
                <w:ilvl w:val="0"/>
                <w:numId w:val="24"/>
              </w:numPr>
              <w:ind w:left="172" w:hanging="142"/>
              <w:rPr>
                <w:sz w:val="20"/>
                <w:szCs w:val="20"/>
              </w:rPr>
            </w:pPr>
            <w:r w:rsidRPr="003379ED">
              <w:rPr>
                <w:sz w:val="20"/>
                <w:szCs w:val="20"/>
              </w:rPr>
              <w:t>Range of after school clubs</w:t>
            </w:r>
          </w:p>
          <w:p w14:paraId="01FB5E1A" w14:textId="77777777" w:rsidR="00BD3AF0" w:rsidRPr="003379ED" w:rsidRDefault="00BD3AF0" w:rsidP="00BD3AF0">
            <w:pPr>
              <w:pStyle w:val="ListParagraph"/>
              <w:numPr>
                <w:ilvl w:val="0"/>
                <w:numId w:val="24"/>
              </w:numPr>
              <w:ind w:left="172" w:hanging="142"/>
              <w:rPr>
                <w:sz w:val="20"/>
                <w:szCs w:val="20"/>
              </w:rPr>
            </w:pPr>
            <w:r w:rsidRPr="003379ED">
              <w:rPr>
                <w:sz w:val="20"/>
                <w:szCs w:val="20"/>
              </w:rPr>
              <w:t>Refining of the safeguarding and PSHE curriculum</w:t>
            </w:r>
          </w:p>
          <w:p w14:paraId="5039FE93" w14:textId="300C8DB1" w:rsidR="00BD3AF0" w:rsidRPr="00236B6E" w:rsidRDefault="00BD3AF0" w:rsidP="00BD3AF0">
            <w:pPr>
              <w:ind w:left="30"/>
              <w:rPr>
                <w:sz w:val="20"/>
                <w:szCs w:val="20"/>
                <w:highlight w:val="yellow"/>
              </w:rPr>
            </w:pPr>
          </w:p>
        </w:tc>
        <w:tc>
          <w:tcPr>
            <w:tcW w:w="8496" w:type="dxa"/>
          </w:tcPr>
          <w:p w14:paraId="5F02DB9E" w14:textId="6C4FB4AB" w:rsidR="00BD3AF0" w:rsidRPr="009E6AE5" w:rsidRDefault="00BD3AF0" w:rsidP="00BD3AF0">
            <w:pPr>
              <w:pStyle w:val="NoSpacing"/>
              <w:rPr>
                <w:noProof/>
                <w:sz w:val="20"/>
                <w:szCs w:val="20"/>
              </w:rPr>
            </w:pPr>
            <w:r w:rsidRPr="009E6AE5">
              <w:rPr>
                <w:noProof/>
                <w:sz w:val="20"/>
                <w:szCs w:val="20"/>
              </w:rPr>
              <w:t xml:space="preserve">A range of clubs have been offered to the pupils to provide them with cultural capital and access to high quality experiences.  These include football, art and craft, dance and musical theatre.  </w:t>
            </w:r>
            <w:r w:rsidR="00356DA0" w:rsidRPr="009E6AE5">
              <w:rPr>
                <w:noProof/>
                <w:sz w:val="20"/>
                <w:szCs w:val="20"/>
              </w:rPr>
              <w:t>70</w:t>
            </w:r>
            <w:r w:rsidRPr="009E6AE5">
              <w:rPr>
                <w:noProof/>
                <w:sz w:val="20"/>
                <w:szCs w:val="20"/>
              </w:rPr>
              <w:t xml:space="preserve">% of pupils attending these clubs were pupil premium.  </w:t>
            </w:r>
          </w:p>
          <w:p w14:paraId="5D985A92" w14:textId="77777777" w:rsidR="00BD3AF0" w:rsidRPr="009E6AE5" w:rsidRDefault="00BD3AF0" w:rsidP="00BD3AF0">
            <w:pPr>
              <w:pStyle w:val="NoSpacing"/>
              <w:rPr>
                <w:noProof/>
                <w:sz w:val="20"/>
                <w:szCs w:val="20"/>
              </w:rPr>
            </w:pPr>
          </w:p>
          <w:p w14:paraId="432363A1" w14:textId="56346F10" w:rsidR="00BD3AF0" w:rsidRPr="009E6AE5" w:rsidRDefault="00BD3AF0" w:rsidP="00BD3AF0">
            <w:pPr>
              <w:pStyle w:val="NoSpacing"/>
              <w:rPr>
                <w:sz w:val="20"/>
                <w:szCs w:val="20"/>
              </w:rPr>
            </w:pPr>
            <w:r w:rsidRPr="009E6AE5">
              <w:rPr>
                <w:sz w:val="20"/>
                <w:szCs w:val="20"/>
              </w:rPr>
              <w:t>Varying enrichment opportunities have taken place across school including:  Captivating Creatures; the Space Centre; Eureka; netball and basketball events; visit to the mosque, church visits; Galleries of Justice – exhibition regarding knife crime; school sleepover; allotment visits; library visits; Albert Hall visit;</w:t>
            </w:r>
            <w:r w:rsidR="00DA196A" w:rsidRPr="009E6AE5">
              <w:rPr>
                <w:sz w:val="20"/>
                <w:szCs w:val="20"/>
              </w:rPr>
              <w:t xml:space="preserve"> </w:t>
            </w:r>
            <w:r w:rsidRPr="009E6AE5">
              <w:rPr>
                <w:sz w:val="20"/>
                <w:szCs w:val="20"/>
              </w:rPr>
              <w:t>Viking day, Roman day; Victorian day; Mini police; my maths story; photography workshop; author visit.</w:t>
            </w:r>
          </w:p>
          <w:p w14:paraId="25EED2EF" w14:textId="77777777" w:rsidR="002409AC" w:rsidRPr="009E6AE5" w:rsidRDefault="002409AC" w:rsidP="00BD3AF0">
            <w:pPr>
              <w:pStyle w:val="NoSpacing"/>
              <w:rPr>
                <w:sz w:val="20"/>
                <w:szCs w:val="20"/>
              </w:rPr>
            </w:pPr>
          </w:p>
          <w:p w14:paraId="5BE82A63" w14:textId="61C65186" w:rsidR="002409AC" w:rsidRPr="00236B6E" w:rsidRDefault="002409AC" w:rsidP="00BD3AF0">
            <w:pPr>
              <w:pStyle w:val="NoSpacing"/>
              <w:rPr>
                <w:noProof/>
                <w:sz w:val="20"/>
                <w:szCs w:val="20"/>
                <w:highlight w:val="yellow"/>
              </w:rPr>
            </w:pPr>
            <w:r w:rsidRPr="009E6AE5">
              <w:rPr>
                <w:sz w:val="20"/>
                <w:szCs w:val="20"/>
              </w:rPr>
              <w:t>Achieved the music mark of recognitio</w:t>
            </w:r>
            <w:r w:rsidR="00F6271B" w:rsidRPr="009E6AE5">
              <w:rPr>
                <w:sz w:val="20"/>
                <w:szCs w:val="20"/>
              </w:rPr>
              <w:t>n for dedication and improvement</w:t>
            </w:r>
          </w:p>
        </w:tc>
      </w:tr>
      <w:tr w:rsidR="007D01D6" w:rsidRPr="00C157E6" w14:paraId="0A23DE74" w14:textId="77777777" w:rsidTr="00533110">
        <w:tc>
          <w:tcPr>
            <w:tcW w:w="2106" w:type="dxa"/>
          </w:tcPr>
          <w:p w14:paraId="40E36CEE" w14:textId="37581BF5" w:rsidR="00BD3AF0" w:rsidRDefault="00BD3AF0" w:rsidP="00E52C58">
            <w:pPr>
              <w:pStyle w:val="TableRow"/>
              <w:rPr>
                <w:sz w:val="22"/>
                <w:szCs w:val="22"/>
              </w:rPr>
            </w:pPr>
            <w:r>
              <w:rPr>
                <w:sz w:val="22"/>
                <w:szCs w:val="22"/>
              </w:rPr>
              <w:t>Ensure that all children with SEND have their needs met and make progress.</w:t>
            </w:r>
          </w:p>
        </w:tc>
        <w:tc>
          <w:tcPr>
            <w:tcW w:w="3958" w:type="dxa"/>
          </w:tcPr>
          <w:p w14:paraId="4993DB1C" w14:textId="77777777" w:rsidR="00BD3AF0" w:rsidRDefault="00AA7232" w:rsidP="00BD3AF0">
            <w:pPr>
              <w:pStyle w:val="ListParagraph"/>
              <w:numPr>
                <w:ilvl w:val="0"/>
                <w:numId w:val="24"/>
              </w:numPr>
              <w:ind w:left="172" w:hanging="142"/>
              <w:rPr>
                <w:sz w:val="20"/>
                <w:szCs w:val="20"/>
              </w:rPr>
            </w:pPr>
            <w:r>
              <w:rPr>
                <w:sz w:val="20"/>
                <w:szCs w:val="20"/>
              </w:rPr>
              <w:t xml:space="preserve">Comets provision for </w:t>
            </w:r>
            <w:r w:rsidR="00BA4DA0">
              <w:rPr>
                <w:sz w:val="20"/>
                <w:szCs w:val="20"/>
              </w:rPr>
              <w:t>high level complex needs</w:t>
            </w:r>
          </w:p>
          <w:p w14:paraId="616A79F5" w14:textId="77777777" w:rsidR="000D0677" w:rsidRDefault="000D0677" w:rsidP="00BD3AF0">
            <w:pPr>
              <w:pStyle w:val="ListParagraph"/>
              <w:numPr>
                <w:ilvl w:val="0"/>
                <w:numId w:val="24"/>
              </w:numPr>
              <w:ind w:left="172" w:hanging="142"/>
              <w:rPr>
                <w:sz w:val="20"/>
                <w:szCs w:val="20"/>
              </w:rPr>
            </w:pPr>
            <w:r>
              <w:rPr>
                <w:sz w:val="20"/>
                <w:szCs w:val="20"/>
              </w:rPr>
              <w:t>Further development of scaffolding for pupils within class</w:t>
            </w:r>
          </w:p>
          <w:p w14:paraId="5F4157E5" w14:textId="6E14DBD0" w:rsidR="000D0677" w:rsidRDefault="00616376" w:rsidP="00BD3AF0">
            <w:pPr>
              <w:pStyle w:val="ListParagraph"/>
              <w:numPr>
                <w:ilvl w:val="0"/>
                <w:numId w:val="24"/>
              </w:numPr>
              <w:ind w:left="172" w:hanging="142"/>
              <w:rPr>
                <w:sz w:val="20"/>
                <w:szCs w:val="20"/>
              </w:rPr>
            </w:pPr>
            <w:r>
              <w:rPr>
                <w:sz w:val="20"/>
                <w:szCs w:val="20"/>
              </w:rPr>
              <w:t>R</w:t>
            </w:r>
            <w:r w:rsidR="00464EC7">
              <w:rPr>
                <w:sz w:val="20"/>
                <w:szCs w:val="20"/>
              </w:rPr>
              <w:t>elation</w:t>
            </w:r>
            <w:r>
              <w:rPr>
                <w:sz w:val="20"/>
                <w:szCs w:val="20"/>
              </w:rPr>
              <w:t>al approaches training</w:t>
            </w:r>
          </w:p>
          <w:p w14:paraId="6FD6CA73" w14:textId="7E6BB6C1" w:rsidR="00616376" w:rsidRDefault="00616376" w:rsidP="00BD3AF0">
            <w:pPr>
              <w:pStyle w:val="ListParagraph"/>
              <w:numPr>
                <w:ilvl w:val="0"/>
                <w:numId w:val="24"/>
              </w:numPr>
              <w:ind w:left="172" w:hanging="142"/>
              <w:rPr>
                <w:sz w:val="20"/>
                <w:szCs w:val="20"/>
              </w:rPr>
            </w:pPr>
            <w:r>
              <w:rPr>
                <w:sz w:val="20"/>
                <w:szCs w:val="20"/>
              </w:rPr>
              <w:t>Trauma / behaviour informed training</w:t>
            </w:r>
          </w:p>
        </w:tc>
        <w:tc>
          <w:tcPr>
            <w:tcW w:w="8496" w:type="dxa"/>
          </w:tcPr>
          <w:p w14:paraId="48A1E336" w14:textId="77777777" w:rsidR="00757F03" w:rsidRDefault="00B275DA" w:rsidP="00BD3AF0">
            <w:pPr>
              <w:pStyle w:val="NoSpacing"/>
              <w:rPr>
                <w:noProof/>
                <w:sz w:val="20"/>
                <w:szCs w:val="20"/>
              </w:rPr>
            </w:pPr>
            <w:r>
              <w:rPr>
                <w:noProof/>
                <w:sz w:val="20"/>
                <w:szCs w:val="20"/>
              </w:rPr>
              <w:t>SEND l</w:t>
            </w:r>
            <w:r w:rsidR="00F7324F">
              <w:rPr>
                <w:noProof/>
                <w:sz w:val="20"/>
                <w:szCs w:val="20"/>
              </w:rPr>
              <w:t xml:space="preserve">earning walks across school have demonstrated that </w:t>
            </w:r>
            <w:r w:rsidR="007C4DA6">
              <w:rPr>
                <w:noProof/>
                <w:sz w:val="20"/>
                <w:szCs w:val="20"/>
              </w:rPr>
              <w:t xml:space="preserve">classroom have visual timetables, </w:t>
            </w:r>
            <w:r w:rsidR="00CE281A">
              <w:rPr>
                <w:noProof/>
                <w:sz w:val="20"/>
                <w:szCs w:val="20"/>
              </w:rPr>
              <w:t xml:space="preserve">use of widgets and </w:t>
            </w:r>
            <w:r w:rsidR="0001756E">
              <w:rPr>
                <w:noProof/>
                <w:sz w:val="20"/>
                <w:szCs w:val="20"/>
              </w:rPr>
              <w:t xml:space="preserve">pupils have scaffolded resources to </w:t>
            </w:r>
            <w:r w:rsidR="00DC0DF9">
              <w:rPr>
                <w:noProof/>
                <w:sz w:val="20"/>
                <w:szCs w:val="20"/>
              </w:rPr>
              <w:t>aid them in their lessons.</w:t>
            </w:r>
          </w:p>
          <w:p w14:paraId="60A7420E" w14:textId="0B9E07E7" w:rsidR="00757F03" w:rsidRDefault="00DC0DF9" w:rsidP="00BD3AF0">
            <w:pPr>
              <w:pStyle w:val="NoSpacing"/>
              <w:rPr>
                <w:noProof/>
                <w:sz w:val="20"/>
                <w:szCs w:val="20"/>
              </w:rPr>
            </w:pPr>
            <w:r>
              <w:rPr>
                <w:noProof/>
                <w:sz w:val="20"/>
                <w:szCs w:val="20"/>
              </w:rPr>
              <w:t xml:space="preserve">  </w:t>
            </w:r>
          </w:p>
          <w:p w14:paraId="7803CD39" w14:textId="77777777" w:rsidR="00BD3AF0" w:rsidRDefault="00CE281A" w:rsidP="00BD3AF0">
            <w:pPr>
              <w:pStyle w:val="NoSpacing"/>
              <w:rPr>
                <w:noProof/>
                <w:sz w:val="20"/>
                <w:szCs w:val="20"/>
              </w:rPr>
            </w:pPr>
            <w:r>
              <w:rPr>
                <w:noProof/>
                <w:sz w:val="20"/>
                <w:szCs w:val="20"/>
              </w:rPr>
              <w:t>Pupil progress meetings show that all teachers are carefully considering the stategies needed to ensure maximum progress is made in lesson time for all p</w:t>
            </w:r>
            <w:r w:rsidR="00757F03">
              <w:rPr>
                <w:noProof/>
                <w:sz w:val="20"/>
                <w:szCs w:val="20"/>
              </w:rPr>
              <w:t>upils.</w:t>
            </w:r>
          </w:p>
          <w:p w14:paraId="1E726ED0" w14:textId="77777777" w:rsidR="00757F03" w:rsidRDefault="00757F03" w:rsidP="00BD3AF0">
            <w:pPr>
              <w:pStyle w:val="NoSpacing"/>
              <w:rPr>
                <w:noProof/>
                <w:sz w:val="20"/>
                <w:szCs w:val="20"/>
              </w:rPr>
            </w:pPr>
          </w:p>
          <w:p w14:paraId="1E219A29" w14:textId="41466042" w:rsidR="00757F03" w:rsidRPr="002A5D5F" w:rsidRDefault="00757F03" w:rsidP="00BD3AF0">
            <w:pPr>
              <w:pStyle w:val="NoSpacing"/>
              <w:rPr>
                <w:noProof/>
                <w:sz w:val="20"/>
                <w:szCs w:val="20"/>
              </w:rPr>
            </w:pPr>
            <w:r>
              <w:rPr>
                <w:noProof/>
                <w:sz w:val="20"/>
                <w:szCs w:val="20"/>
              </w:rPr>
              <w:t>Enhanced provision is purposefu</w:t>
            </w:r>
            <w:r w:rsidR="00F152DD">
              <w:rPr>
                <w:noProof/>
                <w:sz w:val="20"/>
                <w:szCs w:val="20"/>
              </w:rPr>
              <w:t>l and allows for fluid access to provision ensuring time in classrooms for the majority of children.</w:t>
            </w:r>
          </w:p>
        </w:tc>
      </w:tr>
    </w:tbl>
    <w:p w14:paraId="0F102B09" w14:textId="1A493489" w:rsidR="00370BFF" w:rsidRDefault="00370BFF"/>
    <w:p w14:paraId="5DE9CB25" w14:textId="77777777" w:rsidR="00370BFF" w:rsidRDefault="00370BFF"/>
    <w:p w14:paraId="77A9B608" w14:textId="77777777" w:rsidR="00370BFF" w:rsidRDefault="00370BFF"/>
    <w:p w14:paraId="2B7C65D7" w14:textId="77777777" w:rsidR="00A347BE" w:rsidRDefault="00A347BE">
      <w:pPr>
        <w:pStyle w:val="Heading2"/>
        <w:spacing w:before="600"/>
        <w:sectPr w:rsidR="00A347BE" w:rsidSect="00A347BE">
          <w:pgSz w:w="16838" w:h="11906" w:orient="landscape"/>
          <w:pgMar w:top="1134" w:right="1134" w:bottom="1276" w:left="1134" w:header="709" w:footer="709" w:gutter="0"/>
          <w:cols w:space="720"/>
        </w:sectPr>
      </w:pPr>
    </w:p>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7391"/>
        <w:gridCol w:w="7169"/>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4467789E" w:rsidR="00E66558" w:rsidRDefault="00B57E69">
            <w:pPr>
              <w:pStyle w:val="TableRow"/>
            </w:pPr>
            <w:r>
              <w:t>Music Tuition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46EED7CC" w:rsidR="00E66558" w:rsidRDefault="001623B2">
            <w:pPr>
              <w:pStyle w:val="TableRowCentered"/>
              <w:jc w:val="left"/>
            </w:pPr>
            <w:r>
              <w:t>Nottingham City Council Music Provision</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0356C759" w:rsidR="00E66558" w:rsidRDefault="00D22864">
            <w:pPr>
              <w:pStyle w:val="TableRow"/>
            </w:pPr>
            <w:r>
              <w:t>Sport tuition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4CF68943" w:rsidR="00E66558" w:rsidRDefault="001623B2">
            <w:pPr>
              <w:pStyle w:val="TableRowCentered"/>
              <w:jc w:val="left"/>
            </w:pPr>
            <w:r>
              <w:t>Nottingham Forest in the Community</w:t>
            </w:r>
          </w:p>
        </w:tc>
      </w:tr>
      <w:tr w:rsidR="00C14A64" w14:paraId="79E69BB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9AEEE" w14:textId="4C55B4FA" w:rsidR="00C14A64" w:rsidRDefault="00C14A64">
            <w:pPr>
              <w:pStyle w:val="TableRow"/>
            </w:pPr>
            <w:r>
              <w:t>E</w:t>
            </w:r>
            <w:r w:rsidR="00107485">
              <w:t>ssential Letters and Sounds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8B222" w14:textId="17F915A7" w:rsidR="00C14A64" w:rsidRDefault="00107485">
            <w:pPr>
              <w:pStyle w:val="TableRowCentered"/>
              <w:jc w:val="left"/>
            </w:pPr>
            <w:r>
              <w:t>Oxford Owl</w:t>
            </w:r>
          </w:p>
        </w:tc>
      </w:tr>
      <w:tr w:rsidR="00620A66" w14:paraId="75C4C5C1"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50D9D" w14:textId="6ED82290" w:rsidR="00620A66" w:rsidRDefault="00387973">
            <w:pPr>
              <w:pStyle w:val="TableRow"/>
            </w:pPr>
            <w:r>
              <w:t>Power Maths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11EF" w14:textId="21D18E7E" w:rsidR="00620A66" w:rsidRDefault="00387973">
            <w:pPr>
              <w:pStyle w:val="TableRowCentered"/>
              <w:jc w:val="left"/>
            </w:pPr>
            <w:r>
              <w:t>Active Learn</w:t>
            </w:r>
          </w:p>
        </w:tc>
      </w:tr>
      <w:tr w:rsidR="00387973" w14:paraId="5F5FCBD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31838" w14:textId="288BD65A" w:rsidR="00387973" w:rsidRDefault="00387973">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4FECC" w14:textId="5B74CEBA" w:rsidR="00387973" w:rsidRDefault="00B74493">
            <w:pPr>
              <w:pStyle w:val="TableRowCentered"/>
              <w:jc w:val="left"/>
            </w:pPr>
            <w:r>
              <w:t xml:space="preserve">Times table Rock Stars, </w:t>
            </w:r>
          </w:p>
        </w:tc>
      </w:tr>
      <w:tr w:rsidR="006E551B" w14:paraId="0945C128"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65B5D" w14:textId="2AFA46A1" w:rsidR="006E551B" w:rsidRDefault="006E551B">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BC79E" w14:textId="59D60D42" w:rsidR="006E551B" w:rsidRDefault="006E551B" w:rsidP="004803B4">
            <w:pPr>
              <w:pStyle w:val="TableRowCentered"/>
              <w:ind w:left="0"/>
              <w:jc w:val="left"/>
            </w:pP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7391"/>
        <w:gridCol w:w="7169"/>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7"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3F49256E" w:rsidR="00E66558" w:rsidRDefault="004D501A">
            <w:pPr>
              <w:pStyle w:val="TableRowCentered"/>
              <w:jc w:val="left"/>
            </w:pPr>
            <w:r>
              <w:t>N/A</w:t>
            </w: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2F83FE14" w:rsidR="00E66558" w:rsidRDefault="004D501A">
            <w:pPr>
              <w:pStyle w:val="TableRowCentered"/>
              <w:jc w:val="left"/>
            </w:pPr>
            <w:r>
              <w:t>N/A</w:t>
            </w:r>
          </w:p>
        </w:tc>
      </w:tr>
      <w:bookmarkEnd w:id="17"/>
    </w:tbl>
    <w:p w14:paraId="2A7D555E" w14:textId="77777777" w:rsidR="00E66558" w:rsidRDefault="00E66558"/>
    <w:p w14:paraId="2A7D555F" w14:textId="77777777" w:rsidR="00E66558" w:rsidRDefault="00E66558">
      <w:pPr>
        <w:spacing w:after="0" w:line="240" w:lineRule="auto"/>
      </w:pPr>
    </w:p>
    <w:p w14:paraId="2A7D5560" w14:textId="77777777" w:rsidR="00E66558" w:rsidRDefault="009D71E8">
      <w:pPr>
        <w:pStyle w:val="Heading1"/>
      </w:pPr>
      <w:r>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22281" w14:textId="77777777" w:rsidR="00413A60" w:rsidRPr="00E27862" w:rsidRDefault="00413A60" w:rsidP="00413A60">
            <w:pPr>
              <w:autoSpaceDN/>
              <w:spacing w:before="120" w:after="120"/>
              <w:rPr>
                <w:rFonts w:cs="Arial"/>
                <w:iCs/>
                <w:color w:val="auto"/>
                <w:lang w:eastAsia="en-US"/>
              </w:rPr>
            </w:pPr>
            <w:r w:rsidRPr="00E27862">
              <w:rPr>
                <w:rFonts w:cs="Arial"/>
                <w:iCs/>
                <w:color w:val="auto"/>
                <w:lang w:eastAsia="en-US"/>
              </w:rPr>
              <w:t xml:space="preserve">Our pupil premium strategy will be supplemented by additional activity that is not being funded by pupil premium or recovery premium. That will include: </w:t>
            </w:r>
          </w:p>
          <w:p w14:paraId="2A7D5562" w14:textId="2A55E4AA" w:rsidR="0077285D" w:rsidRPr="00CA377E" w:rsidRDefault="0077285D" w:rsidP="0014528F">
            <w:pPr>
              <w:autoSpaceDN/>
              <w:spacing w:before="60" w:after="60"/>
            </w:pPr>
          </w:p>
        </w:tc>
      </w:tr>
      <w:bookmarkEnd w:id="14"/>
      <w:bookmarkEnd w:id="15"/>
      <w:bookmarkEnd w:id="16"/>
    </w:tbl>
    <w:p w14:paraId="2A7D5564" w14:textId="77777777" w:rsidR="00E66558" w:rsidRDefault="00E66558"/>
    <w:sectPr w:rsidR="00E66558" w:rsidSect="00A347BE">
      <w:pgSz w:w="16838" w:h="11906" w:orient="landscape"/>
      <w:pgMar w:top="1134" w:right="1134" w:bottom="1276"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46810" w14:textId="77777777" w:rsidR="00127294" w:rsidRDefault="00127294">
      <w:pPr>
        <w:spacing w:after="0" w:line="240" w:lineRule="auto"/>
      </w:pPr>
      <w:r>
        <w:separator/>
      </w:r>
    </w:p>
  </w:endnote>
  <w:endnote w:type="continuationSeparator" w:id="0">
    <w:p w14:paraId="4CF1E6E9" w14:textId="77777777" w:rsidR="00127294" w:rsidRDefault="00127294">
      <w:pPr>
        <w:spacing w:after="0" w:line="240" w:lineRule="auto"/>
      </w:pPr>
      <w:r>
        <w:continuationSeparator/>
      </w:r>
    </w:p>
  </w:endnote>
  <w:endnote w:type="continuationNotice" w:id="1">
    <w:p w14:paraId="2CDE85BD" w14:textId="77777777" w:rsidR="00127294" w:rsidRDefault="001272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0C01F" w14:textId="77777777" w:rsidR="000F7DEA" w:rsidRDefault="000F7D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1E62A8" w:rsidRDefault="009D71E8">
    <w:pPr>
      <w:pStyle w:val="Footer"/>
      <w:ind w:firstLine="4513"/>
    </w:pPr>
    <w:r>
      <w:fldChar w:fldCharType="begin"/>
    </w:r>
    <w:r>
      <w:instrText xml:space="preserve"> PAGE </w:instrText>
    </w:r>
    <w:r>
      <w:fldChar w:fldCharType="separate"/>
    </w:r>
    <w: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91594" w14:textId="77777777" w:rsidR="000F7DEA" w:rsidRDefault="000F7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1AEFB" w14:textId="77777777" w:rsidR="00127294" w:rsidRDefault="00127294">
      <w:pPr>
        <w:spacing w:after="0" w:line="240" w:lineRule="auto"/>
      </w:pPr>
      <w:r>
        <w:separator/>
      </w:r>
    </w:p>
  </w:footnote>
  <w:footnote w:type="continuationSeparator" w:id="0">
    <w:p w14:paraId="54B8F043" w14:textId="77777777" w:rsidR="00127294" w:rsidRDefault="00127294">
      <w:pPr>
        <w:spacing w:after="0" w:line="240" w:lineRule="auto"/>
      </w:pPr>
      <w:r>
        <w:continuationSeparator/>
      </w:r>
    </w:p>
  </w:footnote>
  <w:footnote w:type="continuationNotice" w:id="1">
    <w:p w14:paraId="76283FD0" w14:textId="77777777" w:rsidR="00127294" w:rsidRDefault="001272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22835" w14:textId="4CAC690A" w:rsidR="000F7DEA" w:rsidRDefault="000F7D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0D468A3D" w:rsidR="001E62A8" w:rsidRDefault="001E62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F853" w14:textId="2ABA6B20" w:rsidR="000F7DEA" w:rsidRDefault="000F7D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732CB"/>
    <w:multiLevelType w:val="hybridMultilevel"/>
    <w:tmpl w:val="A0D47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E7638"/>
    <w:multiLevelType w:val="hybridMultilevel"/>
    <w:tmpl w:val="30D4B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7151C"/>
    <w:multiLevelType w:val="hybridMultilevel"/>
    <w:tmpl w:val="1514E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61239D"/>
    <w:multiLevelType w:val="hybridMultilevel"/>
    <w:tmpl w:val="FC34FAA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9"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0" w15:restartNumberingAfterBreak="0">
    <w:nsid w:val="2A553E12"/>
    <w:multiLevelType w:val="hybridMultilevel"/>
    <w:tmpl w:val="61E863CE"/>
    <w:lvl w:ilvl="0" w:tplc="07521080">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680C06"/>
    <w:multiLevelType w:val="hybridMultilevel"/>
    <w:tmpl w:val="E8C2F0A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2" w15:restartNumberingAfterBreak="0">
    <w:nsid w:val="2B837A99"/>
    <w:multiLevelType w:val="hybridMultilevel"/>
    <w:tmpl w:val="0C581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34FA289E"/>
    <w:multiLevelType w:val="hybridMultilevel"/>
    <w:tmpl w:val="E2EC2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6F1CB6"/>
    <w:multiLevelType w:val="hybridMultilevel"/>
    <w:tmpl w:val="454AB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D26405"/>
    <w:multiLevelType w:val="hybridMultilevel"/>
    <w:tmpl w:val="B23C5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41F234C5"/>
    <w:multiLevelType w:val="hybridMultilevel"/>
    <w:tmpl w:val="6D38552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9" w15:restartNumberingAfterBreak="0">
    <w:nsid w:val="467E2243"/>
    <w:multiLevelType w:val="hybridMultilevel"/>
    <w:tmpl w:val="4930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291AA0"/>
    <w:multiLevelType w:val="hybridMultilevel"/>
    <w:tmpl w:val="630420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B06C19"/>
    <w:multiLevelType w:val="hybridMultilevel"/>
    <w:tmpl w:val="852EC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39178D"/>
    <w:multiLevelType w:val="hybridMultilevel"/>
    <w:tmpl w:val="5A4C9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1FD6356"/>
    <w:multiLevelType w:val="hybridMultilevel"/>
    <w:tmpl w:val="5942B2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7" w15:restartNumberingAfterBreak="0">
    <w:nsid w:val="7084485A"/>
    <w:multiLevelType w:val="hybridMultilevel"/>
    <w:tmpl w:val="D5D86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9"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0"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EF833F1"/>
    <w:multiLevelType w:val="hybridMultilevel"/>
    <w:tmpl w:val="BCBE42C0"/>
    <w:lvl w:ilvl="0" w:tplc="3606D69A">
      <w:start w:val="1"/>
      <w:numFmt w:val="decimal"/>
      <w:lvlText w:val="(%1)"/>
      <w:lvlJc w:val="left"/>
      <w:pPr>
        <w:tabs>
          <w:tab w:val="num" w:pos="720"/>
        </w:tabs>
        <w:ind w:left="720" w:hanging="360"/>
      </w:pPr>
    </w:lvl>
    <w:lvl w:ilvl="1" w:tplc="4D1A70B6" w:tentative="1">
      <w:start w:val="1"/>
      <w:numFmt w:val="decimal"/>
      <w:lvlText w:val="(%2)"/>
      <w:lvlJc w:val="left"/>
      <w:pPr>
        <w:tabs>
          <w:tab w:val="num" w:pos="1440"/>
        </w:tabs>
        <w:ind w:left="1440" w:hanging="360"/>
      </w:pPr>
    </w:lvl>
    <w:lvl w:ilvl="2" w:tplc="5010E4A8" w:tentative="1">
      <w:start w:val="1"/>
      <w:numFmt w:val="decimal"/>
      <w:lvlText w:val="(%3)"/>
      <w:lvlJc w:val="left"/>
      <w:pPr>
        <w:tabs>
          <w:tab w:val="num" w:pos="2160"/>
        </w:tabs>
        <w:ind w:left="2160" w:hanging="360"/>
      </w:pPr>
    </w:lvl>
    <w:lvl w:ilvl="3" w:tplc="B17A27FE" w:tentative="1">
      <w:start w:val="1"/>
      <w:numFmt w:val="decimal"/>
      <w:lvlText w:val="(%4)"/>
      <w:lvlJc w:val="left"/>
      <w:pPr>
        <w:tabs>
          <w:tab w:val="num" w:pos="2880"/>
        </w:tabs>
        <w:ind w:left="2880" w:hanging="360"/>
      </w:pPr>
    </w:lvl>
    <w:lvl w:ilvl="4" w:tplc="89D4F934" w:tentative="1">
      <w:start w:val="1"/>
      <w:numFmt w:val="decimal"/>
      <w:lvlText w:val="(%5)"/>
      <w:lvlJc w:val="left"/>
      <w:pPr>
        <w:tabs>
          <w:tab w:val="num" w:pos="3600"/>
        </w:tabs>
        <w:ind w:left="3600" w:hanging="360"/>
      </w:pPr>
    </w:lvl>
    <w:lvl w:ilvl="5" w:tplc="EFD4563A" w:tentative="1">
      <w:start w:val="1"/>
      <w:numFmt w:val="decimal"/>
      <w:lvlText w:val="(%6)"/>
      <w:lvlJc w:val="left"/>
      <w:pPr>
        <w:tabs>
          <w:tab w:val="num" w:pos="4320"/>
        </w:tabs>
        <w:ind w:left="4320" w:hanging="360"/>
      </w:pPr>
    </w:lvl>
    <w:lvl w:ilvl="6" w:tplc="741CDC96" w:tentative="1">
      <w:start w:val="1"/>
      <w:numFmt w:val="decimal"/>
      <w:lvlText w:val="(%7)"/>
      <w:lvlJc w:val="left"/>
      <w:pPr>
        <w:tabs>
          <w:tab w:val="num" w:pos="5040"/>
        </w:tabs>
        <w:ind w:left="5040" w:hanging="360"/>
      </w:pPr>
    </w:lvl>
    <w:lvl w:ilvl="7" w:tplc="041E5CF2" w:tentative="1">
      <w:start w:val="1"/>
      <w:numFmt w:val="decimal"/>
      <w:lvlText w:val="(%8)"/>
      <w:lvlJc w:val="left"/>
      <w:pPr>
        <w:tabs>
          <w:tab w:val="num" w:pos="5760"/>
        </w:tabs>
        <w:ind w:left="5760" w:hanging="360"/>
      </w:pPr>
    </w:lvl>
    <w:lvl w:ilvl="8" w:tplc="3514BE96" w:tentative="1">
      <w:start w:val="1"/>
      <w:numFmt w:val="decimal"/>
      <w:lvlText w:val="(%9)"/>
      <w:lvlJc w:val="left"/>
      <w:pPr>
        <w:tabs>
          <w:tab w:val="num" w:pos="6480"/>
        </w:tabs>
        <w:ind w:left="6480" w:hanging="360"/>
      </w:pPr>
    </w:lvl>
  </w:abstractNum>
  <w:abstractNum w:abstractNumId="32" w15:restartNumberingAfterBreak="0">
    <w:nsid w:val="7F3E4243"/>
    <w:multiLevelType w:val="hybridMultilevel"/>
    <w:tmpl w:val="96EAF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85707">
    <w:abstractNumId w:val="7"/>
  </w:num>
  <w:num w:numId="2" w16cid:durableId="68500631">
    <w:abstractNumId w:val="5"/>
  </w:num>
  <w:num w:numId="3" w16cid:durableId="1981574509">
    <w:abstractNumId w:val="9"/>
  </w:num>
  <w:num w:numId="4" w16cid:durableId="363674938">
    <w:abstractNumId w:val="13"/>
  </w:num>
  <w:num w:numId="5" w16cid:durableId="789931163">
    <w:abstractNumId w:val="4"/>
  </w:num>
  <w:num w:numId="6" w16cid:durableId="2063022156">
    <w:abstractNumId w:val="17"/>
  </w:num>
  <w:num w:numId="7" w16cid:durableId="1099450608">
    <w:abstractNumId w:val="25"/>
  </w:num>
  <w:num w:numId="8" w16cid:durableId="1049184212">
    <w:abstractNumId w:val="30"/>
  </w:num>
  <w:num w:numId="9" w16cid:durableId="401415801">
    <w:abstractNumId w:val="28"/>
  </w:num>
  <w:num w:numId="10" w16cid:durableId="1578251638">
    <w:abstractNumId w:val="26"/>
  </w:num>
  <w:num w:numId="11" w16cid:durableId="1384057282">
    <w:abstractNumId w:val="6"/>
  </w:num>
  <w:num w:numId="12" w16cid:durableId="674453426">
    <w:abstractNumId w:val="29"/>
  </w:num>
  <w:num w:numId="13" w16cid:durableId="801120903">
    <w:abstractNumId w:val="23"/>
  </w:num>
  <w:num w:numId="14" w16cid:durableId="1199126707">
    <w:abstractNumId w:val="14"/>
  </w:num>
  <w:num w:numId="15" w16cid:durableId="814300911">
    <w:abstractNumId w:val="32"/>
  </w:num>
  <w:num w:numId="16" w16cid:durableId="791051562">
    <w:abstractNumId w:val="1"/>
  </w:num>
  <w:num w:numId="17" w16cid:durableId="927542499">
    <w:abstractNumId w:val="15"/>
  </w:num>
  <w:num w:numId="18" w16cid:durableId="2109498605">
    <w:abstractNumId w:val="8"/>
  </w:num>
  <w:num w:numId="19" w16cid:durableId="461702818">
    <w:abstractNumId w:val="12"/>
  </w:num>
  <w:num w:numId="20" w16cid:durableId="551116350">
    <w:abstractNumId w:val="18"/>
  </w:num>
  <w:num w:numId="21" w16cid:durableId="830678402">
    <w:abstractNumId w:val="11"/>
  </w:num>
  <w:num w:numId="22" w16cid:durableId="1143811799">
    <w:abstractNumId w:val="20"/>
  </w:num>
  <w:num w:numId="23" w16cid:durableId="1244804290">
    <w:abstractNumId w:val="24"/>
  </w:num>
  <w:num w:numId="24" w16cid:durableId="1153912440">
    <w:abstractNumId w:val="2"/>
  </w:num>
  <w:num w:numId="25" w16cid:durableId="343171350">
    <w:abstractNumId w:val="21"/>
  </w:num>
  <w:num w:numId="26" w16cid:durableId="1536234855">
    <w:abstractNumId w:val="16"/>
  </w:num>
  <w:num w:numId="27" w16cid:durableId="616378869">
    <w:abstractNumId w:val="19"/>
  </w:num>
  <w:num w:numId="28" w16cid:durableId="1914392324">
    <w:abstractNumId w:val="0"/>
  </w:num>
  <w:num w:numId="29" w16cid:durableId="990791003">
    <w:abstractNumId w:val="27"/>
  </w:num>
  <w:num w:numId="30" w16cid:durableId="558639006">
    <w:abstractNumId w:val="3"/>
  </w:num>
  <w:num w:numId="31" w16cid:durableId="1050886123">
    <w:abstractNumId w:val="22"/>
  </w:num>
  <w:num w:numId="32" w16cid:durableId="2098286151">
    <w:abstractNumId w:val="31"/>
  </w:num>
  <w:num w:numId="33" w16cid:durableId="17787200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01FB"/>
    <w:rsid w:val="00000D33"/>
    <w:rsid w:val="00002498"/>
    <w:rsid w:val="00002738"/>
    <w:rsid w:val="00004A32"/>
    <w:rsid w:val="00006049"/>
    <w:rsid w:val="000060F3"/>
    <w:rsid w:val="000069CB"/>
    <w:rsid w:val="00007AA5"/>
    <w:rsid w:val="00010CBB"/>
    <w:rsid w:val="00012832"/>
    <w:rsid w:val="000147D3"/>
    <w:rsid w:val="000151D4"/>
    <w:rsid w:val="0001756E"/>
    <w:rsid w:val="00017575"/>
    <w:rsid w:val="00017B7D"/>
    <w:rsid w:val="00020296"/>
    <w:rsid w:val="00021424"/>
    <w:rsid w:val="000219DC"/>
    <w:rsid w:val="00023537"/>
    <w:rsid w:val="00023808"/>
    <w:rsid w:val="00023E91"/>
    <w:rsid w:val="000244A2"/>
    <w:rsid w:val="00026D26"/>
    <w:rsid w:val="00027859"/>
    <w:rsid w:val="00027D7F"/>
    <w:rsid w:val="000313A5"/>
    <w:rsid w:val="0003389F"/>
    <w:rsid w:val="00034553"/>
    <w:rsid w:val="00041A54"/>
    <w:rsid w:val="00041B5C"/>
    <w:rsid w:val="000421DA"/>
    <w:rsid w:val="00042969"/>
    <w:rsid w:val="00042F9B"/>
    <w:rsid w:val="00043ADA"/>
    <w:rsid w:val="000472A4"/>
    <w:rsid w:val="00050A42"/>
    <w:rsid w:val="00051532"/>
    <w:rsid w:val="00053E85"/>
    <w:rsid w:val="0005416D"/>
    <w:rsid w:val="00060253"/>
    <w:rsid w:val="000631F1"/>
    <w:rsid w:val="00063A1A"/>
    <w:rsid w:val="00064E73"/>
    <w:rsid w:val="00065AED"/>
    <w:rsid w:val="00066B73"/>
    <w:rsid w:val="00066CBA"/>
    <w:rsid w:val="00067565"/>
    <w:rsid w:val="00070F31"/>
    <w:rsid w:val="00074122"/>
    <w:rsid w:val="000754E4"/>
    <w:rsid w:val="0007588A"/>
    <w:rsid w:val="0007622D"/>
    <w:rsid w:val="00077139"/>
    <w:rsid w:val="0008098E"/>
    <w:rsid w:val="00082132"/>
    <w:rsid w:val="000836D1"/>
    <w:rsid w:val="00085136"/>
    <w:rsid w:val="000863D2"/>
    <w:rsid w:val="000868CF"/>
    <w:rsid w:val="00090409"/>
    <w:rsid w:val="00092640"/>
    <w:rsid w:val="000935D7"/>
    <w:rsid w:val="00094F3C"/>
    <w:rsid w:val="000A0272"/>
    <w:rsid w:val="000A0D39"/>
    <w:rsid w:val="000A4D95"/>
    <w:rsid w:val="000B1131"/>
    <w:rsid w:val="000B1C01"/>
    <w:rsid w:val="000B28AD"/>
    <w:rsid w:val="000B46B9"/>
    <w:rsid w:val="000B4761"/>
    <w:rsid w:val="000B4C76"/>
    <w:rsid w:val="000B78C7"/>
    <w:rsid w:val="000B7927"/>
    <w:rsid w:val="000B7F0A"/>
    <w:rsid w:val="000C0403"/>
    <w:rsid w:val="000C0E97"/>
    <w:rsid w:val="000C1B15"/>
    <w:rsid w:val="000C28C8"/>
    <w:rsid w:val="000C3148"/>
    <w:rsid w:val="000C355C"/>
    <w:rsid w:val="000C41AA"/>
    <w:rsid w:val="000D0677"/>
    <w:rsid w:val="000D277B"/>
    <w:rsid w:val="000D2D4E"/>
    <w:rsid w:val="000D35F7"/>
    <w:rsid w:val="000D3615"/>
    <w:rsid w:val="000D36D8"/>
    <w:rsid w:val="000D6B15"/>
    <w:rsid w:val="000E355C"/>
    <w:rsid w:val="000E393F"/>
    <w:rsid w:val="000E3C82"/>
    <w:rsid w:val="000E4AB8"/>
    <w:rsid w:val="000E5380"/>
    <w:rsid w:val="000E5389"/>
    <w:rsid w:val="000E5E6B"/>
    <w:rsid w:val="000F04DA"/>
    <w:rsid w:val="000F20A5"/>
    <w:rsid w:val="000F2571"/>
    <w:rsid w:val="000F3AAE"/>
    <w:rsid w:val="000F3AEC"/>
    <w:rsid w:val="000F4753"/>
    <w:rsid w:val="000F6C8C"/>
    <w:rsid w:val="000F7C6A"/>
    <w:rsid w:val="000F7DEA"/>
    <w:rsid w:val="00100782"/>
    <w:rsid w:val="001011CE"/>
    <w:rsid w:val="001019A9"/>
    <w:rsid w:val="00101D24"/>
    <w:rsid w:val="00102E9F"/>
    <w:rsid w:val="00107485"/>
    <w:rsid w:val="0011008F"/>
    <w:rsid w:val="00112A41"/>
    <w:rsid w:val="00115D96"/>
    <w:rsid w:val="00115DD2"/>
    <w:rsid w:val="001175C4"/>
    <w:rsid w:val="00117835"/>
    <w:rsid w:val="00117BC5"/>
    <w:rsid w:val="00120AB1"/>
    <w:rsid w:val="00121D9A"/>
    <w:rsid w:val="00121EC9"/>
    <w:rsid w:val="001222A2"/>
    <w:rsid w:val="00122FD1"/>
    <w:rsid w:val="00124FEF"/>
    <w:rsid w:val="001265CE"/>
    <w:rsid w:val="00127294"/>
    <w:rsid w:val="001275F4"/>
    <w:rsid w:val="00131512"/>
    <w:rsid w:val="00132054"/>
    <w:rsid w:val="001323A5"/>
    <w:rsid w:val="00135D31"/>
    <w:rsid w:val="00136975"/>
    <w:rsid w:val="00136B09"/>
    <w:rsid w:val="001374CD"/>
    <w:rsid w:val="001413A3"/>
    <w:rsid w:val="00141B3B"/>
    <w:rsid w:val="00141C21"/>
    <w:rsid w:val="00141E5B"/>
    <w:rsid w:val="0014528F"/>
    <w:rsid w:val="00145796"/>
    <w:rsid w:val="00145B84"/>
    <w:rsid w:val="00146CF6"/>
    <w:rsid w:val="00150214"/>
    <w:rsid w:val="00150277"/>
    <w:rsid w:val="001509FF"/>
    <w:rsid w:val="001519B5"/>
    <w:rsid w:val="00153771"/>
    <w:rsid w:val="00154BAD"/>
    <w:rsid w:val="00156D81"/>
    <w:rsid w:val="00157360"/>
    <w:rsid w:val="00157821"/>
    <w:rsid w:val="00157B1F"/>
    <w:rsid w:val="001623B2"/>
    <w:rsid w:val="00164A42"/>
    <w:rsid w:val="00164B2A"/>
    <w:rsid w:val="00165933"/>
    <w:rsid w:val="00166889"/>
    <w:rsid w:val="00166EE2"/>
    <w:rsid w:val="00167029"/>
    <w:rsid w:val="001676B5"/>
    <w:rsid w:val="001676F1"/>
    <w:rsid w:val="00171999"/>
    <w:rsid w:val="00172781"/>
    <w:rsid w:val="00172A7F"/>
    <w:rsid w:val="00174126"/>
    <w:rsid w:val="0017654F"/>
    <w:rsid w:val="001774CF"/>
    <w:rsid w:val="0017790F"/>
    <w:rsid w:val="001806D8"/>
    <w:rsid w:val="00183516"/>
    <w:rsid w:val="001845CB"/>
    <w:rsid w:val="00184CC5"/>
    <w:rsid w:val="00186F86"/>
    <w:rsid w:val="00191A8F"/>
    <w:rsid w:val="0019244D"/>
    <w:rsid w:val="001925E1"/>
    <w:rsid w:val="00193474"/>
    <w:rsid w:val="0019569E"/>
    <w:rsid w:val="001A07E8"/>
    <w:rsid w:val="001A095D"/>
    <w:rsid w:val="001A14AB"/>
    <w:rsid w:val="001A1B1D"/>
    <w:rsid w:val="001A3FF0"/>
    <w:rsid w:val="001A472C"/>
    <w:rsid w:val="001B067E"/>
    <w:rsid w:val="001B088E"/>
    <w:rsid w:val="001B37D4"/>
    <w:rsid w:val="001B3B05"/>
    <w:rsid w:val="001B531D"/>
    <w:rsid w:val="001B6594"/>
    <w:rsid w:val="001B6614"/>
    <w:rsid w:val="001C06A3"/>
    <w:rsid w:val="001C0F40"/>
    <w:rsid w:val="001C1A26"/>
    <w:rsid w:val="001C3D8A"/>
    <w:rsid w:val="001C4262"/>
    <w:rsid w:val="001C521A"/>
    <w:rsid w:val="001C62A1"/>
    <w:rsid w:val="001D1138"/>
    <w:rsid w:val="001D1E18"/>
    <w:rsid w:val="001D1E28"/>
    <w:rsid w:val="001D6AF6"/>
    <w:rsid w:val="001D6CC4"/>
    <w:rsid w:val="001D717D"/>
    <w:rsid w:val="001E0133"/>
    <w:rsid w:val="001E04E7"/>
    <w:rsid w:val="001E0D49"/>
    <w:rsid w:val="001E0F5C"/>
    <w:rsid w:val="001E3496"/>
    <w:rsid w:val="001E4A5C"/>
    <w:rsid w:val="001E563B"/>
    <w:rsid w:val="001E62A8"/>
    <w:rsid w:val="001E6ECC"/>
    <w:rsid w:val="001E7264"/>
    <w:rsid w:val="001F03D8"/>
    <w:rsid w:val="001F117F"/>
    <w:rsid w:val="001F176E"/>
    <w:rsid w:val="001F3A6E"/>
    <w:rsid w:val="001F487D"/>
    <w:rsid w:val="001F5C83"/>
    <w:rsid w:val="001F6AA9"/>
    <w:rsid w:val="001F6FD8"/>
    <w:rsid w:val="00200164"/>
    <w:rsid w:val="00200333"/>
    <w:rsid w:val="00202381"/>
    <w:rsid w:val="00203DCB"/>
    <w:rsid w:val="00204CE3"/>
    <w:rsid w:val="0020581E"/>
    <w:rsid w:val="00206656"/>
    <w:rsid w:val="002134F1"/>
    <w:rsid w:val="0021377D"/>
    <w:rsid w:val="002149D1"/>
    <w:rsid w:val="002210D0"/>
    <w:rsid w:val="00221B9C"/>
    <w:rsid w:val="00222042"/>
    <w:rsid w:val="002254D6"/>
    <w:rsid w:val="002258E6"/>
    <w:rsid w:val="00226F3F"/>
    <w:rsid w:val="00227CD3"/>
    <w:rsid w:val="00227F27"/>
    <w:rsid w:val="0023031A"/>
    <w:rsid w:val="00231166"/>
    <w:rsid w:val="00231EA4"/>
    <w:rsid w:val="0023283B"/>
    <w:rsid w:val="00232DA0"/>
    <w:rsid w:val="002330F1"/>
    <w:rsid w:val="00234749"/>
    <w:rsid w:val="00236B6E"/>
    <w:rsid w:val="00237F6B"/>
    <w:rsid w:val="002409AC"/>
    <w:rsid w:val="002431DC"/>
    <w:rsid w:val="00243638"/>
    <w:rsid w:val="00243904"/>
    <w:rsid w:val="00244550"/>
    <w:rsid w:val="002446AB"/>
    <w:rsid w:val="00244BC4"/>
    <w:rsid w:val="00247732"/>
    <w:rsid w:val="002518C2"/>
    <w:rsid w:val="00252940"/>
    <w:rsid w:val="00256B60"/>
    <w:rsid w:val="00261600"/>
    <w:rsid w:val="002670C4"/>
    <w:rsid w:val="00270BDE"/>
    <w:rsid w:val="0027179B"/>
    <w:rsid w:val="00271C80"/>
    <w:rsid w:val="0027299A"/>
    <w:rsid w:val="00273C7D"/>
    <w:rsid w:val="00275082"/>
    <w:rsid w:val="00276CBF"/>
    <w:rsid w:val="0027705A"/>
    <w:rsid w:val="0027733F"/>
    <w:rsid w:val="00286650"/>
    <w:rsid w:val="002866FF"/>
    <w:rsid w:val="00290170"/>
    <w:rsid w:val="002927EA"/>
    <w:rsid w:val="002A1D17"/>
    <w:rsid w:val="002A2318"/>
    <w:rsid w:val="002A3467"/>
    <w:rsid w:val="002A4ACF"/>
    <w:rsid w:val="002A5D5F"/>
    <w:rsid w:val="002A60C0"/>
    <w:rsid w:val="002A69B5"/>
    <w:rsid w:val="002A70C0"/>
    <w:rsid w:val="002B0B6C"/>
    <w:rsid w:val="002B2197"/>
    <w:rsid w:val="002B2228"/>
    <w:rsid w:val="002B28F9"/>
    <w:rsid w:val="002B491C"/>
    <w:rsid w:val="002B5687"/>
    <w:rsid w:val="002B6D09"/>
    <w:rsid w:val="002C5950"/>
    <w:rsid w:val="002C7C5E"/>
    <w:rsid w:val="002D1D4B"/>
    <w:rsid w:val="002D308B"/>
    <w:rsid w:val="002D4665"/>
    <w:rsid w:val="002D4A8B"/>
    <w:rsid w:val="002D4EEA"/>
    <w:rsid w:val="002D5A73"/>
    <w:rsid w:val="002D6A23"/>
    <w:rsid w:val="002E0C97"/>
    <w:rsid w:val="002E161E"/>
    <w:rsid w:val="002E289C"/>
    <w:rsid w:val="002E3554"/>
    <w:rsid w:val="002E405A"/>
    <w:rsid w:val="002E5653"/>
    <w:rsid w:val="002E571F"/>
    <w:rsid w:val="002E6511"/>
    <w:rsid w:val="002F1071"/>
    <w:rsid w:val="002F224F"/>
    <w:rsid w:val="002F3BBF"/>
    <w:rsid w:val="002F554C"/>
    <w:rsid w:val="002F6795"/>
    <w:rsid w:val="002F72EA"/>
    <w:rsid w:val="003009E1"/>
    <w:rsid w:val="00300B92"/>
    <w:rsid w:val="003055FA"/>
    <w:rsid w:val="0030578F"/>
    <w:rsid w:val="003114DE"/>
    <w:rsid w:val="00311DC7"/>
    <w:rsid w:val="00314024"/>
    <w:rsid w:val="003153FB"/>
    <w:rsid w:val="00316372"/>
    <w:rsid w:val="00317EA9"/>
    <w:rsid w:val="00321252"/>
    <w:rsid w:val="00322D57"/>
    <w:rsid w:val="00322D8F"/>
    <w:rsid w:val="00323012"/>
    <w:rsid w:val="0032331E"/>
    <w:rsid w:val="00324B1F"/>
    <w:rsid w:val="003264BB"/>
    <w:rsid w:val="003273D6"/>
    <w:rsid w:val="00331082"/>
    <w:rsid w:val="00331864"/>
    <w:rsid w:val="003320F7"/>
    <w:rsid w:val="00332332"/>
    <w:rsid w:val="00334EDB"/>
    <w:rsid w:val="0033582C"/>
    <w:rsid w:val="003378EB"/>
    <w:rsid w:val="003379ED"/>
    <w:rsid w:val="0034052A"/>
    <w:rsid w:val="00341EE0"/>
    <w:rsid w:val="00342B67"/>
    <w:rsid w:val="0034561B"/>
    <w:rsid w:val="003479AF"/>
    <w:rsid w:val="00347D2B"/>
    <w:rsid w:val="00352C31"/>
    <w:rsid w:val="00354219"/>
    <w:rsid w:val="00354F29"/>
    <w:rsid w:val="00355424"/>
    <w:rsid w:val="00356DA0"/>
    <w:rsid w:val="00357C71"/>
    <w:rsid w:val="003625CB"/>
    <w:rsid w:val="00363F2D"/>
    <w:rsid w:val="00370BFF"/>
    <w:rsid w:val="00370DA7"/>
    <w:rsid w:val="003710B5"/>
    <w:rsid w:val="0037119B"/>
    <w:rsid w:val="00374B24"/>
    <w:rsid w:val="00375A12"/>
    <w:rsid w:val="0037666B"/>
    <w:rsid w:val="00381868"/>
    <w:rsid w:val="00383456"/>
    <w:rsid w:val="003855D1"/>
    <w:rsid w:val="0038569B"/>
    <w:rsid w:val="00387973"/>
    <w:rsid w:val="00387C29"/>
    <w:rsid w:val="00387D91"/>
    <w:rsid w:val="0039060A"/>
    <w:rsid w:val="0039246E"/>
    <w:rsid w:val="00396230"/>
    <w:rsid w:val="00396E93"/>
    <w:rsid w:val="00397352"/>
    <w:rsid w:val="003A1B46"/>
    <w:rsid w:val="003A1D64"/>
    <w:rsid w:val="003A2D79"/>
    <w:rsid w:val="003A3FF2"/>
    <w:rsid w:val="003A4686"/>
    <w:rsid w:val="003A5B15"/>
    <w:rsid w:val="003A5E4C"/>
    <w:rsid w:val="003A6491"/>
    <w:rsid w:val="003A75B3"/>
    <w:rsid w:val="003A7A0A"/>
    <w:rsid w:val="003B021A"/>
    <w:rsid w:val="003B0547"/>
    <w:rsid w:val="003B0D03"/>
    <w:rsid w:val="003B1520"/>
    <w:rsid w:val="003B2C75"/>
    <w:rsid w:val="003B6296"/>
    <w:rsid w:val="003C11AE"/>
    <w:rsid w:val="003C178B"/>
    <w:rsid w:val="003C1D2F"/>
    <w:rsid w:val="003C20F1"/>
    <w:rsid w:val="003C2478"/>
    <w:rsid w:val="003C2556"/>
    <w:rsid w:val="003C435E"/>
    <w:rsid w:val="003C5552"/>
    <w:rsid w:val="003C6018"/>
    <w:rsid w:val="003C71A4"/>
    <w:rsid w:val="003D1AB5"/>
    <w:rsid w:val="003D3B54"/>
    <w:rsid w:val="003D4FB0"/>
    <w:rsid w:val="003D515A"/>
    <w:rsid w:val="003D617C"/>
    <w:rsid w:val="003D684F"/>
    <w:rsid w:val="003D7018"/>
    <w:rsid w:val="003D7BEA"/>
    <w:rsid w:val="003E1E52"/>
    <w:rsid w:val="003E214D"/>
    <w:rsid w:val="003E2C55"/>
    <w:rsid w:val="003E3D29"/>
    <w:rsid w:val="003E4934"/>
    <w:rsid w:val="003E4EA7"/>
    <w:rsid w:val="003E5B55"/>
    <w:rsid w:val="003E5D93"/>
    <w:rsid w:val="003E6479"/>
    <w:rsid w:val="003E6D95"/>
    <w:rsid w:val="003F05A8"/>
    <w:rsid w:val="003F2A97"/>
    <w:rsid w:val="003F2B3B"/>
    <w:rsid w:val="003F2DED"/>
    <w:rsid w:val="003F306E"/>
    <w:rsid w:val="003F5E28"/>
    <w:rsid w:val="003F6A21"/>
    <w:rsid w:val="003F6C8B"/>
    <w:rsid w:val="00400B70"/>
    <w:rsid w:val="004044AA"/>
    <w:rsid w:val="00405B82"/>
    <w:rsid w:val="00405DD7"/>
    <w:rsid w:val="00406207"/>
    <w:rsid w:val="004067D0"/>
    <w:rsid w:val="00406A13"/>
    <w:rsid w:val="00411591"/>
    <w:rsid w:val="00411A88"/>
    <w:rsid w:val="00411ADE"/>
    <w:rsid w:val="00412F9D"/>
    <w:rsid w:val="00413534"/>
    <w:rsid w:val="00413A60"/>
    <w:rsid w:val="00414257"/>
    <w:rsid w:val="0041583B"/>
    <w:rsid w:val="004158BC"/>
    <w:rsid w:val="00415D15"/>
    <w:rsid w:val="0041676F"/>
    <w:rsid w:val="00416A2D"/>
    <w:rsid w:val="00417F62"/>
    <w:rsid w:val="00421300"/>
    <w:rsid w:val="00421550"/>
    <w:rsid w:val="004231C9"/>
    <w:rsid w:val="004241DE"/>
    <w:rsid w:val="0042500E"/>
    <w:rsid w:val="00427D9A"/>
    <w:rsid w:val="00430E69"/>
    <w:rsid w:val="004327B2"/>
    <w:rsid w:val="004330B9"/>
    <w:rsid w:val="00435B15"/>
    <w:rsid w:val="004375B4"/>
    <w:rsid w:val="0044432D"/>
    <w:rsid w:val="0044580B"/>
    <w:rsid w:val="0045013B"/>
    <w:rsid w:val="00451690"/>
    <w:rsid w:val="00452130"/>
    <w:rsid w:val="00452D32"/>
    <w:rsid w:val="00452EC8"/>
    <w:rsid w:val="00453581"/>
    <w:rsid w:val="004550DF"/>
    <w:rsid w:val="004554F8"/>
    <w:rsid w:val="00455E64"/>
    <w:rsid w:val="004570EF"/>
    <w:rsid w:val="004572D5"/>
    <w:rsid w:val="00460838"/>
    <w:rsid w:val="004615E3"/>
    <w:rsid w:val="00463736"/>
    <w:rsid w:val="00463E9A"/>
    <w:rsid w:val="00464EC7"/>
    <w:rsid w:val="00470601"/>
    <w:rsid w:val="004706DA"/>
    <w:rsid w:val="00471321"/>
    <w:rsid w:val="00474409"/>
    <w:rsid w:val="004753D3"/>
    <w:rsid w:val="00475D2C"/>
    <w:rsid w:val="0047600B"/>
    <w:rsid w:val="004775BB"/>
    <w:rsid w:val="004802DC"/>
    <w:rsid w:val="004803B4"/>
    <w:rsid w:val="0048066D"/>
    <w:rsid w:val="00481E1B"/>
    <w:rsid w:val="004832EC"/>
    <w:rsid w:val="0048405E"/>
    <w:rsid w:val="00486B04"/>
    <w:rsid w:val="00487779"/>
    <w:rsid w:val="00487A73"/>
    <w:rsid w:val="004900B9"/>
    <w:rsid w:val="00490C80"/>
    <w:rsid w:val="004952BD"/>
    <w:rsid w:val="00496093"/>
    <w:rsid w:val="004971A6"/>
    <w:rsid w:val="004A00CC"/>
    <w:rsid w:val="004A098D"/>
    <w:rsid w:val="004A1DAD"/>
    <w:rsid w:val="004A2EEE"/>
    <w:rsid w:val="004A3519"/>
    <w:rsid w:val="004A566D"/>
    <w:rsid w:val="004A59AF"/>
    <w:rsid w:val="004A7A71"/>
    <w:rsid w:val="004B05B3"/>
    <w:rsid w:val="004B086D"/>
    <w:rsid w:val="004B1473"/>
    <w:rsid w:val="004B45BE"/>
    <w:rsid w:val="004B4649"/>
    <w:rsid w:val="004B4B04"/>
    <w:rsid w:val="004B4FF6"/>
    <w:rsid w:val="004C1342"/>
    <w:rsid w:val="004C13E7"/>
    <w:rsid w:val="004C1DD7"/>
    <w:rsid w:val="004C1FEE"/>
    <w:rsid w:val="004C494B"/>
    <w:rsid w:val="004C53B2"/>
    <w:rsid w:val="004C55E9"/>
    <w:rsid w:val="004C74A9"/>
    <w:rsid w:val="004C756D"/>
    <w:rsid w:val="004D0C59"/>
    <w:rsid w:val="004D2612"/>
    <w:rsid w:val="004D2621"/>
    <w:rsid w:val="004D2F37"/>
    <w:rsid w:val="004D31DF"/>
    <w:rsid w:val="004D3C68"/>
    <w:rsid w:val="004D3E11"/>
    <w:rsid w:val="004D4478"/>
    <w:rsid w:val="004D501A"/>
    <w:rsid w:val="004D5477"/>
    <w:rsid w:val="004D5781"/>
    <w:rsid w:val="004D672B"/>
    <w:rsid w:val="004D6BA3"/>
    <w:rsid w:val="004D7105"/>
    <w:rsid w:val="004E44CE"/>
    <w:rsid w:val="004E6E78"/>
    <w:rsid w:val="004E70E6"/>
    <w:rsid w:val="004F0917"/>
    <w:rsid w:val="004F2865"/>
    <w:rsid w:val="004F3F41"/>
    <w:rsid w:val="004F4033"/>
    <w:rsid w:val="004F7263"/>
    <w:rsid w:val="004F7D0B"/>
    <w:rsid w:val="00500CDB"/>
    <w:rsid w:val="00500D98"/>
    <w:rsid w:val="00503713"/>
    <w:rsid w:val="005059E1"/>
    <w:rsid w:val="00505F24"/>
    <w:rsid w:val="005132F6"/>
    <w:rsid w:val="00514FD7"/>
    <w:rsid w:val="00515769"/>
    <w:rsid w:val="005163AE"/>
    <w:rsid w:val="00517AB1"/>
    <w:rsid w:val="00520C8D"/>
    <w:rsid w:val="005212C3"/>
    <w:rsid w:val="00521DDB"/>
    <w:rsid w:val="00523075"/>
    <w:rsid w:val="005236FC"/>
    <w:rsid w:val="00523DDC"/>
    <w:rsid w:val="00524238"/>
    <w:rsid w:val="00524862"/>
    <w:rsid w:val="005254BE"/>
    <w:rsid w:val="0052593C"/>
    <w:rsid w:val="0052693E"/>
    <w:rsid w:val="00527197"/>
    <w:rsid w:val="005279F5"/>
    <w:rsid w:val="00532A3A"/>
    <w:rsid w:val="00532ABD"/>
    <w:rsid w:val="00532E38"/>
    <w:rsid w:val="00533110"/>
    <w:rsid w:val="005356E4"/>
    <w:rsid w:val="00535B58"/>
    <w:rsid w:val="00535F51"/>
    <w:rsid w:val="00536151"/>
    <w:rsid w:val="0054484F"/>
    <w:rsid w:val="0054494C"/>
    <w:rsid w:val="00544AEC"/>
    <w:rsid w:val="00546090"/>
    <w:rsid w:val="005467A2"/>
    <w:rsid w:val="00553694"/>
    <w:rsid w:val="00554C7C"/>
    <w:rsid w:val="00557C53"/>
    <w:rsid w:val="00557E37"/>
    <w:rsid w:val="00561459"/>
    <w:rsid w:val="00562A17"/>
    <w:rsid w:val="0056343B"/>
    <w:rsid w:val="005659EC"/>
    <w:rsid w:val="00566CCF"/>
    <w:rsid w:val="0056734C"/>
    <w:rsid w:val="00567A76"/>
    <w:rsid w:val="00567C9D"/>
    <w:rsid w:val="00571047"/>
    <w:rsid w:val="00575801"/>
    <w:rsid w:val="005759C6"/>
    <w:rsid w:val="00575DFC"/>
    <w:rsid w:val="00580624"/>
    <w:rsid w:val="00580821"/>
    <w:rsid w:val="00580872"/>
    <w:rsid w:val="00581FE3"/>
    <w:rsid w:val="005860B6"/>
    <w:rsid w:val="005908EC"/>
    <w:rsid w:val="00591001"/>
    <w:rsid w:val="00591295"/>
    <w:rsid w:val="005935A6"/>
    <w:rsid w:val="00594623"/>
    <w:rsid w:val="005963BC"/>
    <w:rsid w:val="005A10DB"/>
    <w:rsid w:val="005A1B55"/>
    <w:rsid w:val="005A1DA3"/>
    <w:rsid w:val="005A200B"/>
    <w:rsid w:val="005A21C4"/>
    <w:rsid w:val="005A3F6A"/>
    <w:rsid w:val="005A5061"/>
    <w:rsid w:val="005A65AB"/>
    <w:rsid w:val="005B5AA7"/>
    <w:rsid w:val="005B6068"/>
    <w:rsid w:val="005B6F94"/>
    <w:rsid w:val="005C2285"/>
    <w:rsid w:val="005C2514"/>
    <w:rsid w:val="005C259A"/>
    <w:rsid w:val="005C303D"/>
    <w:rsid w:val="005C5977"/>
    <w:rsid w:val="005C657F"/>
    <w:rsid w:val="005C6FE1"/>
    <w:rsid w:val="005C7264"/>
    <w:rsid w:val="005D2B0A"/>
    <w:rsid w:val="005D2E41"/>
    <w:rsid w:val="005D4724"/>
    <w:rsid w:val="005D5CEB"/>
    <w:rsid w:val="005D5D27"/>
    <w:rsid w:val="005E0C0C"/>
    <w:rsid w:val="005E2B04"/>
    <w:rsid w:val="005E352F"/>
    <w:rsid w:val="005E46A8"/>
    <w:rsid w:val="005E4829"/>
    <w:rsid w:val="005E4A45"/>
    <w:rsid w:val="005F12EF"/>
    <w:rsid w:val="005F2AE7"/>
    <w:rsid w:val="005F3890"/>
    <w:rsid w:val="005F6904"/>
    <w:rsid w:val="005F752F"/>
    <w:rsid w:val="005F7D14"/>
    <w:rsid w:val="005F7E62"/>
    <w:rsid w:val="00601628"/>
    <w:rsid w:val="00602905"/>
    <w:rsid w:val="00604E51"/>
    <w:rsid w:val="0060546D"/>
    <w:rsid w:val="00607B29"/>
    <w:rsid w:val="0061050C"/>
    <w:rsid w:val="0061125E"/>
    <w:rsid w:val="00612D52"/>
    <w:rsid w:val="006151C8"/>
    <w:rsid w:val="0061636A"/>
    <w:rsid w:val="00616376"/>
    <w:rsid w:val="0062040A"/>
    <w:rsid w:val="0062060F"/>
    <w:rsid w:val="00620A66"/>
    <w:rsid w:val="00621DC1"/>
    <w:rsid w:val="006238A5"/>
    <w:rsid w:val="00624386"/>
    <w:rsid w:val="0062794E"/>
    <w:rsid w:val="00632C9D"/>
    <w:rsid w:val="00633A11"/>
    <w:rsid w:val="00633E25"/>
    <w:rsid w:val="00634016"/>
    <w:rsid w:val="006351F6"/>
    <w:rsid w:val="00636E18"/>
    <w:rsid w:val="006412CE"/>
    <w:rsid w:val="0064732A"/>
    <w:rsid w:val="00647670"/>
    <w:rsid w:val="006478FE"/>
    <w:rsid w:val="0065000C"/>
    <w:rsid w:val="00651B09"/>
    <w:rsid w:val="006521BF"/>
    <w:rsid w:val="0065634D"/>
    <w:rsid w:val="0066031F"/>
    <w:rsid w:val="00660358"/>
    <w:rsid w:val="0066165A"/>
    <w:rsid w:val="00661A65"/>
    <w:rsid w:val="00661E32"/>
    <w:rsid w:val="00662785"/>
    <w:rsid w:val="00664228"/>
    <w:rsid w:val="00670FAD"/>
    <w:rsid w:val="00671150"/>
    <w:rsid w:val="0067288E"/>
    <w:rsid w:val="00674B5E"/>
    <w:rsid w:val="0067681E"/>
    <w:rsid w:val="006810DC"/>
    <w:rsid w:val="0068122B"/>
    <w:rsid w:val="00681C7A"/>
    <w:rsid w:val="0068256D"/>
    <w:rsid w:val="00682918"/>
    <w:rsid w:val="00683C84"/>
    <w:rsid w:val="00687992"/>
    <w:rsid w:val="00690AC5"/>
    <w:rsid w:val="0069257F"/>
    <w:rsid w:val="00694793"/>
    <w:rsid w:val="0069510D"/>
    <w:rsid w:val="00696223"/>
    <w:rsid w:val="0069626E"/>
    <w:rsid w:val="006964D9"/>
    <w:rsid w:val="00696F84"/>
    <w:rsid w:val="00697E14"/>
    <w:rsid w:val="006A1167"/>
    <w:rsid w:val="006A1FDF"/>
    <w:rsid w:val="006A2A3F"/>
    <w:rsid w:val="006A6084"/>
    <w:rsid w:val="006A6EAA"/>
    <w:rsid w:val="006B1739"/>
    <w:rsid w:val="006B2BF4"/>
    <w:rsid w:val="006B4BD6"/>
    <w:rsid w:val="006B55D3"/>
    <w:rsid w:val="006B5F94"/>
    <w:rsid w:val="006B646F"/>
    <w:rsid w:val="006B73CD"/>
    <w:rsid w:val="006C1D6D"/>
    <w:rsid w:val="006C34A3"/>
    <w:rsid w:val="006C4FBB"/>
    <w:rsid w:val="006C50D0"/>
    <w:rsid w:val="006C6DA9"/>
    <w:rsid w:val="006C7DC2"/>
    <w:rsid w:val="006D10D8"/>
    <w:rsid w:val="006D162E"/>
    <w:rsid w:val="006D44BF"/>
    <w:rsid w:val="006D53B1"/>
    <w:rsid w:val="006D5631"/>
    <w:rsid w:val="006D76C0"/>
    <w:rsid w:val="006D795E"/>
    <w:rsid w:val="006E0133"/>
    <w:rsid w:val="006E115D"/>
    <w:rsid w:val="006E2FBD"/>
    <w:rsid w:val="006E3759"/>
    <w:rsid w:val="006E4D6D"/>
    <w:rsid w:val="006E551B"/>
    <w:rsid w:val="006E5F65"/>
    <w:rsid w:val="006E7FB1"/>
    <w:rsid w:val="006F0907"/>
    <w:rsid w:val="006F0F6B"/>
    <w:rsid w:val="006F152C"/>
    <w:rsid w:val="006F3199"/>
    <w:rsid w:val="006F6B8E"/>
    <w:rsid w:val="006F6E88"/>
    <w:rsid w:val="007001F6"/>
    <w:rsid w:val="00701889"/>
    <w:rsid w:val="00702A55"/>
    <w:rsid w:val="00703D17"/>
    <w:rsid w:val="007054C2"/>
    <w:rsid w:val="007059CC"/>
    <w:rsid w:val="00705E32"/>
    <w:rsid w:val="007077EB"/>
    <w:rsid w:val="00707FD4"/>
    <w:rsid w:val="0071064F"/>
    <w:rsid w:val="00712973"/>
    <w:rsid w:val="00715906"/>
    <w:rsid w:val="00715C18"/>
    <w:rsid w:val="00716A53"/>
    <w:rsid w:val="00716CCA"/>
    <w:rsid w:val="00717B45"/>
    <w:rsid w:val="00721397"/>
    <w:rsid w:val="00721515"/>
    <w:rsid w:val="00721B82"/>
    <w:rsid w:val="00723691"/>
    <w:rsid w:val="00724233"/>
    <w:rsid w:val="00725F7D"/>
    <w:rsid w:val="00726B0D"/>
    <w:rsid w:val="00727E4D"/>
    <w:rsid w:val="007306E8"/>
    <w:rsid w:val="00730B0C"/>
    <w:rsid w:val="0073191A"/>
    <w:rsid w:val="00732278"/>
    <w:rsid w:val="00733D2D"/>
    <w:rsid w:val="00735DE5"/>
    <w:rsid w:val="00736A73"/>
    <w:rsid w:val="00740334"/>
    <w:rsid w:val="007403B5"/>
    <w:rsid w:val="00741B9E"/>
    <w:rsid w:val="00741BB2"/>
    <w:rsid w:val="00742337"/>
    <w:rsid w:val="00742A1A"/>
    <w:rsid w:val="00743042"/>
    <w:rsid w:val="00743561"/>
    <w:rsid w:val="00744E47"/>
    <w:rsid w:val="00745509"/>
    <w:rsid w:val="00746E1F"/>
    <w:rsid w:val="00751333"/>
    <w:rsid w:val="007552B8"/>
    <w:rsid w:val="007556E1"/>
    <w:rsid w:val="00755EFC"/>
    <w:rsid w:val="00756BC4"/>
    <w:rsid w:val="00757F03"/>
    <w:rsid w:val="00760472"/>
    <w:rsid w:val="007617C4"/>
    <w:rsid w:val="00761807"/>
    <w:rsid w:val="00761944"/>
    <w:rsid w:val="00761EB1"/>
    <w:rsid w:val="00762A34"/>
    <w:rsid w:val="00762DEE"/>
    <w:rsid w:val="00764BF3"/>
    <w:rsid w:val="00766EAE"/>
    <w:rsid w:val="00766F01"/>
    <w:rsid w:val="0076747B"/>
    <w:rsid w:val="00767863"/>
    <w:rsid w:val="00767E20"/>
    <w:rsid w:val="0077206C"/>
    <w:rsid w:val="00772515"/>
    <w:rsid w:val="0077269E"/>
    <w:rsid w:val="007726FC"/>
    <w:rsid w:val="0077285D"/>
    <w:rsid w:val="00773728"/>
    <w:rsid w:val="00773ED6"/>
    <w:rsid w:val="007753F2"/>
    <w:rsid w:val="007760C1"/>
    <w:rsid w:val="00776520"/>
    <w:rsid w:val="00776749"/>
    <w:rsid w:val="00780086"/>
    <w:rsid w:val="00781AD2"/>
    <w:rsid w:val="0078272A"/>
    <w:rsid w:val="0078356E"/>
    <w:rsid w:val="00784BE0"/>
    <w:rsid w:val="00786B2C"/>
    <w:rsid w:val="00787B99"/>
    <w:rsid w:val="007904DB"/>
    <w:rsid w:val="0079078F"/>
    <w:rsid w:val="0079394F"/>
    <w:rsid w:val="00794841"/>
    <w:rsid w:val="0079703C"/>
    <w:rsid w:val="007A051A"/>
    <w:rsid w:val="007A15A5"/>
    <w:rsid w:val="007A234A"/>
    <w:rsid w:val="007A2BC5"/>
    <w:rsid w:val="007A36F2"/>
    <w:rsid w:val="007A38CF"/>
    <w:rsid w:val="007A5D2B"/>
    <w:rsid w:val="007A68CD"/>
    <w:rsid w:val="007A70E5"/>
    <w:rsid w:val="007A7143"/>
    <w:rsid w:val="007B0609"/>
    <w:rsid w:val="007B0B59"/>
    <w:rsid w:val="007B1504"/>
    <w:rsid w:val="007B16B9"/>
    <w:rsid w:val="007B1BB3"/>
    <w:rsid w:val="007B2294"/>
    <w:rsid w:val="007B2DC7"/>
    <w:rsid w:val="007B416E"/>
    <w:rsid w:val="007B703D"/>
    <w:rsid w:val="007B757D"/>
    <w:rsid w:val="007C179D"/>
    <w:rsid w:val="007C2097"/>
    <w:rsid w:val="007C2F04"/>
    <w:rsid w:val="007C41A9"/>
    <w:rsid w:val="007C4DA6"/>
    <w:rsid w:val="007C752D"/>
    <w:rsid w:val="007C7D1E"/>
    <w:rsid w:val="007D01D6"/>
    <w:rsid w:val="007D0656"/>
    <w:rsid w:val="007D1378"/>
    <w:rsid w:val="007D2CF3"/>
    <w:rsid w:val="007D4A8C"/>
    <w:rsid w:val="007D51CE"/>
    <w:rsid w:val="007D6AF2"/>
    <w:rsid w:val="007D6BA7"/>
    <w:rsid w:val="007D7B85"/>
    <w:rsid w:val="007E002F"/>
    <w:rsid w:val="007E1E3A"/>
    <w:rsid w:val="007E2EB4"/>
    <w:rsid w:val="007E4631"/>
    <w:rsid w:val="007E481E"/>
    <w:rsid w:val="007E596B"/>
    <w:rsid w:val="007E60E8"/>
    <w:rsid w:val="007E77D4"/>
    <w:rsid w:val="007F20BC"/>
    <w:rsid w:val="007F2271"/>
    <w:rsid w:val="007F34B2"/>
    <w:rsid w:val="007F3FD4"/>
    <w:rsid w:val="007F47E9"/>
    <w:rsid w:val="007F5903"/>
    <w:rsid w:val="007F7185"/>
    <w:rsid w:val="007F78E4"/>
    <w:rsid w:val="0080065F"/>
    <w:rsid w:val="0080069A"/>
    <w:rsid w:val="00801BC5"/>
    <w:rsid w:val="00801CEA"/>
    <w:rsid w:val="008024F4"/>
    <w:rsid w:val="00802663"/>
    <w:rsid w:val="008029C9"/>
    <w:rsid w:val="00804EC1"/>
    <w:rsid w:val="00805419"/>
    <w:rsid w:val="00807F82"/>
    <w:rsid w:val="008125D7"/>
    <w:rsid w:val="008145E7"/>
    <w:rsid w:val="00816377"/>
    <w:rsid w:val="00816880"/>
    <w:rsid w:val="00816FEF"/>
    <w:rsid w:val="00820A72"/>
    <w:rsid w:val="00821E8A"/>
    <w:rsid w:val="00822288"/>
    <w:rsid w:val="00824C16"/>
    <w:rsid w:val="0082514A"/>
    <w:rsid w:val="0082556F"/>
    <w:rsid w:val="00827C28"/>
    <w:rsid w:val="0083382C"/>
    <w:rsid w:val="00833A56"/>
    <w:rsid w:val="00834740"/>
    <w:rsid w:val="008357BD"/>
    <w:rsid w:val="00837301"/>
    <w:rsid w:val="008420A8"/>
    <w:rsid w:val="00842731"/>
    <w:rsid w:val="00842B06"/>
    <w:rsid w:val="00843A61"/>
    <w:rsid w:val="008449C3"/>
    <w:rsid w:val="008454A4"/>
    <w:rsid w:val="00846FD7"/>
    <w:rsid w:val="00850EA8"/>
    <w:rsid w:val="0085346E"/>
    <w:rsid w:val="00853BDD"/>
    <w:rsid w:val="00856D9F"/>
    <w:rsid w:val="008605A0"/>
    <w:rsid w:val="0086108D"/>
    <w:rsid w:val="00861979"/>
    <w:rsid w:val="00862E9B"/>
    <w:rsid w:val="008641A6"/>
    <w:rsid w:val="008641C4"/>
    <w:rsid w:val="008649C8"/>
    <w:rsid w:val="00865082"/>
    <w:rsid w:val="00866DA8"/>
    <w:rsid w:val="00872192"/>
    <w:rsid w:val="0087275A"/>
    <w:rsid w:val="00872BCE"/>
    <w:rsid w:val="008742DA"/>
    <w:rsid w:val="008743D1"/>
    <w:rsid w:val="008746AF"/>
    <w:rsid w:val="00874D85"/>
    <w:rsid w:val="00875508"/>
    <w:rsid w:val="00876CA8"/>
    <w:rsid w:val="00877207"/>
    <w:rsid w:val="00877AEB"/>
    <w:rsid w:val="00880098"/>
    <w:rsid w:val="0088096E"/>
    <w:rsid w:val="00880C3B"/>
    <w:rsid w:val="00881991"/>
    <w:rsid w:val="00882AA6"/>
    <w:rsid w:val="0088393D"/>
    <w:rsid w:val="00886CE5"/>
    <w:rsid w:val="00887BB0"/>
    <w:rsid w:val="00890074"/>
    <w:rsid w:val="00890A7A"/>
    <w:rsid w:val="008921AF"/>
    <w:rsid w:val="008924D4"/>
    <w:rsid w:val="008933F5"/>
    <w:rsid w:val="0089374A"/>
    <w:rsid w:val="00893802"/>
    <w:rsid w:val="00895ABD"/>
    <w:rsid w:val="008977AE"/>
    <w:rsid w:val="00897B79"/>
    <w:rsid w:val="008A210B"/>
    <w:rsid w:val="008A27A5"/>
    <w:rsid w:val="008A2F33"/>
    <w:rsid w:val="008A3AD7"/>
    <w:rsid w:val="008A626C"/>
    <w:rsid w:val="008B0850"/>
    <w:rsid w:val="008B09E8"/>
    <w:rsid w:val="008B1CAE"/>
    <w:rsid w:val="008B396C"/>
    <w:rsid w:val="008B4B09"/>
    <w:rsid w:val="008B612B"/>
    <w:rsid w:val="008B7232"/>
    <w:rsid w:val="008B7563"/>
    <w:rsid w:val="008C1C12"/>
    <w:rsid w:val="008C1D68"/>
    <w:rsid w:val="008C5346"/>
    <w:rsid w:val="008C5357"/>
    <w:rsid w:val="008C5B1D"/>
    <w:rsid w:val="008C611F"/>
    <w:rsid w:val="008D13DD"/>
    <w:rsid w:val="008D46AE"/>
    <w:rsid w:val="008D6393"/>
    <w:rsid w:val="008D6AB7"/>
    <w:rsid w:val="008D6EBD"/>
    <w:rsid w:val="008E1401"/>
    <w:rsid w:val="008E2323"/>
    <w:rsid w:val="008E5DAC"/>
    <w:rsid w:val="008F23D0"/>
    <w:rsid w:val="008F5560"/>
    <w:rsid w:val="008F5EE2"/>
    <w:rsid w:val="008F66CB"/>
    <w:rsid w:val="008F6D3A"/>
    <w:rsid w:val="00901DA3"/>
    <w:rsid w:val="0090239F"/>
    <w:rsid w:val="00902A35"/>
    <w:rsid w:val="009062FD"/>
    <w:rsid w:val="00906408"/>
    <w:rsid w:val="00906CC6"/>
    <w:rsid w:val="00906E74"/>
    <w:rsid w:val="0091079C"/>
    <w:rsid w:val="0091169C"/>
    <w:rsid w:val="009140F2"/>
    <w:rsid w:val="00914111"/>
    <w:rsid w:val="009149FA"/>
    <w:rsid w:val="0091609F"/>
    <w:rsid w:val="00916906"/>
    <w:rsid w:val="0091778E"/>
    <w:rsid w:val="0091795A"/>
    <w:rsid w:val="00917BB4"/>
    <w:rsid w:val="009233C0"/>
    <w:rsid w:val="0092351C"/>
    <w:rsid w:val="0092412C"/>
    <w:rsid w:val="00924962"/>
    <w:rsid w:val="0092629D"/>
    <w:rsid w:val="00930501"/>
    <w:rsid w:val="00931465"/>
    <w:rsid w:val="0093497A"/>
    <w:rsid w:val="00936B25"/>
    <w:rsid w:val="00937554"/>
    <w:rsid w:val="00937855"/>
    <w:rsid w:val="00937948"/>
    <w:rsid w:val="0093797C"/>
    <w:rsid w:val="009410E7"/>
    <w:rsid w:val="00942C60"/>
    <w:rsid w:val="00944679"/>
    <w:rsid w:val="00945370"/>
    <w:rsid w:val="00945C93"/>
    <w:rsid w:val="00947AEC"/>
    <w:rsid w:val="00947D0D"/>
    <w:rsid w:val="00950A8B"/>
    <w:rsid w:val="00950F97"/>
    <w:rsid w:val="009513D7"/>
    <w:rsid w:val="00951822"/>
    <w:rsid w:val="00953DF9"/>
    <w:rsid w:val="00954A79"/>
    <w:rsid w:val="00954D93"/>
    <w:rsid w:val="00954E2F"/>
    <w:rsid w:val="009577D6"/>
    <w:rsid w:val="00961026"/>
    <w:rsid w:val="00962F08"/>
    <w:rsid w:val="00963CC8"/>
    <w:rsid w:val="00964875"/>
    <w:rsid w:val="00966CEA"/>
    <w:rsid w:val="0096754A"/>
    <w:rsid w:val="00970C74"/>
    <w:rsid w:val="00971A92"/>
    <w:rsid w:val="00971CCC"/>
    <w:rsid w:val="009731EA"/>
    <w:rsid w:val="00973761"/>
    <w:rsid w:val="009743BD"/>
    <w:rsid w:val="00974898"/>
    <w:rsid w:val="00974FC7"/>
    <w:rsid w:val="00976BD3"/>
    <w:rsid w:val="00976FA3"/>
    <w:rsid w:val="00977209"/>
    <w:rsid w:val="00980642"/>
    <w:rsid w:val="00981F99"/>
    <w:rsid w:val="00982E43"/>
    <w:rsid w:val="009835D2"/>
    <w:rsid w:val="00986706"/>
    <w:rsid w:val="009869AA"/>
    <w:rsid w:val="00987281"/>
    <w:rsid w:val="009874ED"/>
    <w:rsid w:val="009906F1"/>
    <w:rsid w:val="00991598"/>
    <w:rsid w:val="00993DEC"/>
    <w:rsid w:val="00994546"/>
    <w:rsid w:val="00994F8A"/>
    <w:rsid w:val="009954AB"/>
    <w:rsid w:val="00995A4A"/>
    <w:rsid w:val="00995D40"/>
    <w:rsid w:val="009A1A25"/>
    <w:rsid w:val="009A1FA4"/>
    <w:rsid w:val="009A208E"/>
    <w:rsid w:val="009A2363"/>
    <w:rsid w:val="009A2EC8"/>
    <w:rsid w:val="009A57CB"/>
    <w:rsid w:val="009A7407"/>
    <w:rsid w:val="009B0234"/>
    <w:rsid w:val="009B1855"/>
    <w:rsid w:val="009B24BA"/>
    <w:rsid w:val="009B26F2"/>
    <w:rsid w:val="009B4029"/>
    <w:rsid w:val="009B4B80"/>
    <w:rsid w:val="009C36B7"/>
    <w:rsid w:val="009C3D0E"/>
    <w:rsid w:val="009C47F4"/>
    <w:rsid w:val="009C4973"/>
    <w:rsid w:val="009C6AF8"/>
    <w:rsid w:val="009C7D01"/>
    <w:rsid w:val="009D01C9"/>
    <w:rsid w:val="009D23D3"/>
    <w:rsid w:val="009D3EF2"/>
    <w:rsid w:val="009D45EA"/>
    <w:rsid w:val="009D4B8E"/>
    <w:rsid w:val="009D71E8"/>
    <w:rsid w:val="009D7575"/>
    <w:rsid w:val="009D797C"/>
    <w:rsid w:val="009E1C7F"/>
    <w:rsid w:val="009E1E0A"/>
    <w:rsid w:val="009E251D"/>
    <w:rsid w:val="009E2901"/>
    <w:rsid w:val="009E2C7B"/>
    <w:rsid w:val="009E35A2"/>
    <w:rsid w:val="009E5BF9"/>
    <w:rsid w:val="009E6AE5"/>
    <w:rsid w:val="009F0C1B"/>
    <w:rsid w:val="009F1431"/>
    <w:rsid w:val="009F160D"/>
    <w:rsid w:val="009F1B7F"/>
    <w:rsid w:val="009F1E59"/>
    <w:rsid w:val="009F29BB"/>
    <w:rsid w:val="009F2B9A"/>
    <w:rsid w:val="009F4527"/>
    <w:rsid w:val="009F5605"/>
    <w:rsid w:val="009F6C45"/>
    <w:rsid w:val="009F6FC7"/>
    <w:rsid w:val="009F7DE4"/>
    <w:rsid w:val="00A00006"/>
    <w:rsid w:val="00A00337"/>
    <w:rsid w:val="00A00BF0"/>
    <w:rsid w:val="00A02D28"/>
    <w:rsid w:val="00A041F9"/>
    <w:rsid w:val="00A04293"/>
    <w:rsid w:val="00A063F7"/>
    <w:rsid w:val="00A06409"/>
    <w:rsid w:val="00A06433"/>
    <w:rsid w:val="00A06EF3"/>
    <w:rsid w:val="00A0723C"/>
    <w:rsid w:val="00A07635"/>
    <w:rsid w:val="00A07FDE"/>
    <w:rsid w:val="00A15F01"/>
    <w:rsid w:val="00A16471"/>
    <w:rsid w:val="00A16CAA"/>
    <w:rsid w:val="00A171E5"/>
    <w:rsid w:val="00A1738C"/>
    <w:rsid w:val="00A17533"/>
    <w:rsid w:val="00A1759D"/>
    <w:rsid w:val="00A2050E"/>
    <w:rsid w:val="00A23BC6"/>
    <w:rsid w:val="00A24AC0"/>
    <w:rsid w:val="00A2595A"/>
    <w:rsid w:val="00A268CA"/>
    <w:rsid w:val="00A27381"/>
    <w:rsid w:val="00A27764"/>
    <w:rsid w:val="00A302C8"/>
    <w:rsid w:val="00A30B8C"/>
    <w:rsid w:val="00A30D30"/>
    <w:rsid w:val="00A30EFA"/>
    <w:rsid w:val="00A3204B"/>
    <w:rsid w:val="00A32D95"/>
    <w:rsid w:val="00A342FC"/>
    <w:rsid w:val="00A347BE"/>
    <w:rsid w:val="00A353B9"/>
    <w:rsid w:val="00A37A44"/>
    <w:rsid w:val="00A37D7C"/>
    <w:rsid w:val="00A40061"/>
    <w:rsid w:val="00A43427"/>
    <w:rsid w:val="00A43691"/>
    <w:rsid w:val="00A45606"/>
    <w:rsid w:val="00A46254"/>
    <w:rsid w:val="00A470EF"/>
    <w:rsid w:val="00A47D89"/>
    <w:rsid w:val="00A5287E"/>
    <w:rsid w:val="00A54936"/>
    <w:rsid w:val="00A549FC"/>
    <w:rsid w:val="00A54C54"/>
    <w:rsid w:val="00A5557F"/>
    <w:rsid w:val="00A56F4B"/>
    <w:rsid w:val="00A60405"/>
    <w:rsid w:val="00A607AF"/>
    <w:rsid w:val="00A60FD0"/>
    <w:rsid w:val="00A613A1"/>
    <w:rsid w:val="00A613DE"/>
    <w:rsid w:val="00A62CFF"/>
    <w:rsid w:val="00A6305F"/>
    <w:rsid w:val="00A64277"/>
    <w:rsid w:val="00A64FCD"/>
    <w:rsid w:val="00A6596C"/>
    <w:rsid w:val="00A65EF5"/>
    <w:rsid w:val="00A6665F"/>
    <w:rsid w:val="00A673D0"/>
    <w:rsid w:val="00A67E06"/>
    <w:rsid w:val="00A7105A"/>
    <w:rsid w:val="00A7467F"/>
    <w:rsid w:val="00A75996"/>
    <w:rsid w:val="00A7702B"/>
    <w:rsid w:val="00A776FD"/>
    <w:rsid w:val="00A77CD4"/>
    <w:rsid w:val="00A77EB1"/>
    <w:rsid w:val="00A83FFD"/>
    <w:rsid w:val="00A84199"/>
    <w:rsid w:val="00A84758"/>
    <w:rsid w:val="00A84E28"/>
    <w:rsid w:val="00A8506E"/>
    <w:rsid w:val="00A85E0D"/>
    <w:rsid w:val="00A86C95"/>
    <w:rsid w:val="00A86FCE"/>
    <w:rsid w:val="00A91DF4"/>
    <w:rsid w:val="00A94E3E"/>
    <w:rsid w:val="00A959A0"/>
    <w:rsid w:val="00A95D76"/>
    <w:rsid w:val="00A96C1E"/>
    <w:rsid w:val="00A97951"/>
    <w:rsid w:val="00A97D99"/>
    <w:rsid w:val="00A97F88"/>
    <w:rsid w:val="00A97FF9"/>
    <w:rsid w:val="00AA2087"/>
    <w:rsid w:val="00AA2DE7"/>
    <w:rsid w:val="00AA3B95"/>
    <w:rsid w:val="00AA4201"/>
    <w:rsid w:val="00AA4AA6"/>
    <w:rsid w:val="00AA6716"/>
    <w:rsid w:val="00AA7232"/>
    <w:rsid w:val="00AA776F"/>
    <w:rsid w:val="00AB06DD"/>
    <w:rsid w:val="00AB07AE"/>
    <w:rsid w:val="00AB1486"/>
    <w:rsid w:val="00AB1E08"/>
    <w:rsid w:val="00AB206F"/>
    <w:rsid w:val="00AC1AF7"/>
    <w:rsid w:val="00AC5D0C"/>
    <w:rsid w:val="00AC6A85"/>
    <w:rsid w:val="00AC72E6"/>
    <w:rsid w:val="00AD0053"/>
    <w:rsid w:val="00AD01C2"/>
    <w:rsid w:val="00AD0DA5"/>
    <w:rsid w:val="00AD1F48"/>
    <w:rsid w:val="00AD2049"/>
    <w:rsid w:val="00AD29EC"/>
    <w:rsid w:val="00AD3614"/>
    <w:rsid w:val="00AD3B43"/>
    <w:rsid w:val="00AD3D68"/>
    <w:rsid w:val="00AD4FA8"/>
    <w:rsid w:val="00AD61B4"/>
    <w:rsid w:val="00AD6276"/>
    <w:rsid w:val="00AE0262"/>
    <w:rsid w:val="00AE0983"/>
    <w:rsid w:val="00AE0EC2"/>
    <w:rsid w:val="00AE2330"/>
    <w:rsid w:val="00AE418C"/>
    <w:rsid w:val="00AE41A5"/>
    <w:rsid w:val="00AE4420"/>
    <w:rsid w:val="00AE4979"/>
    <w:rsid w:val="00AE5668"/>
    <w:rsid w:val="00AE6CD2"/>
    <w:rsid w:val="00AF0A06"/>
    <w:rsid w:val="00AF4B3F"/>
    <w:rsid w:val="00AF7400"/>
    <w:rsid w:val="00B0094B"/>
    <w:rsid w:val="00B01164"/>
    <w:rsid w:val="00B0257A"/>
    <w:rsid w:val="00B036DA"/>
    <w:rsid w:val="00B0553D"/>
    <w:rsid w:val="00B05E0F"/>
    <w:rsid w:val="00B107E2"/>
    <w:rsid w:val="00B112B9"/>
    <w:rsid w:val="00B1195C"/>
    <w:rsid w:val="00B12C4D"/>
    <w:rsid w:val="00B12E65"/>
    <w:rsid w:val="00B13CBF"/>
    <w:rsid w:val="00B13CC9"/>
    <w:rsid w:val="00B1415C"/>
    <w:rsid w:val="00B15302"/>
    <w:rsid w:val="00B204A0"/>
    <w:rsid w:val="00B21E8F"/>
    <w:rsid w:val="00B2273D"/>
    <w:rsid w:val="00B22D12"/>
    <w:rsid w:val="00B24A80"/>
    <w:rsid w:val="00B250E4"/>
    <w:rsid w:val="00B253E7"/>
    <w:rsid w:val="00B258A7"/>
    <w:rsid w:val="00B25DDB"/>
    <w:rsid w:val="00B267BF"/>
    <w:rsid w:val="00B275DA"/>
    <w:rsid w:val="00B302CF"/>
    <w:rsid w:val="00B320EF"/>
    <w:rsid w:val="00B32BF7"/>
    <w:rsid w:val="00B344E7"/>
    <w:rsid w:val="00B36289"/>
    <w:rsid w:val="00B40C47"/>
    <w:rsid w:val="00B41AB0"/>
    <w:rsid w:val="00B41FF3"/>
    <w:rsid w:val="00B42566"/>
    <w:rsid w:val="00B43137"/>
    <w:rsid w:val="00B47316"/>
    <w:rsid w:val="00B4747D"/>
    <w:rsid w:val="00B503E6"/>
    <w:rsid w:val="00B51D06"/>
    <w:rsid w:val="00B52533"/>
    <w:rsid w:val="00B54278"/>
    <w:rsid w:val="00B549C2"/>
    <w:rsid w:val="00B55319"/>
    <w:rsid w:val="00B55FBE"/>
    <w:rsid w:val="00B57E69"/>
    <w:rsid w:val="00B6153F"/>
    <w:rsid w:val="00B618A2"/>
    <w:rsid w:val="00B62248"/>
    <w:rsid w:val="00B62EB9"/>
    <w:rsid w:val="00B64183"/>
    <w:rsid w:val="00B64666"/>
    <w:rsid w:val="00B64723"/>
    <w:rsid w:val="00B67771"/>
    <w:rsid w:val="00B71D7F"/>
    <w:rsid w:val="00B72E82"/>
    <w:rsid w:val="00B734CA"/>
    <w:rsid w:val="00B74493"/>
    <w:rsid w:val="00B74645"/>
    <w:rsid w:val="00B7497F"/>
    <w:rsid w:val="00B7564A"/>
    <w:rsid w:val="00B80873"/>
    <w:rsid w:val="00B81C43"/>
    <w:rsid w:val="00B8353B"/>
    <w:rsid w:val="00B83A8D"/>
    <w:rsid w:val="00B85694"/>
    <w:rsid w:val="00B85C53"/>
    <w:rsid w:val="00B9132C"/>
    <w:rsid w:val="00B917BB"/>
    <w:rsid w:val="00B91827"/>
    <w:rsid w:val="00B94B14"/>
    <w:rsid w:val="00B96F4A"/>
    <w:rsid w:val="00B977B4"/>
    <w:rsid w:val="00B9789D"/>
    <w:rsid w:val="00B97F08"/>
    <w:rsid w:val="00BA37A1"/>
    <w:rsid w:val="00BA439B"/>
    <w:rsid w:val="00BA4DA0"/>
    <w:rsid w:val="00BA524E"/>
    <w:rsid w:val="00BA6998"/>
    <w:rsid w:val="00BB0984"/>
    <w:rsid w:val="00BB2A7A"/>
    <w:rsid w:val="00BB3615"/>
    <w:rsid w:val="00BB4865"/>
    <w:rsid w:val="00BB4963"/>
    <w:rsid w:val="00BB6577"/>
    <w:rsid w:val="00BC15ED"/>
    <w:rsid w:val="00BC379B"/>
    <w:rsid w:val="00BC5AB4"/>
    <w:rsid w:val="00BC605F"/>
    <w:rsid w:val="00BC6150"/>
    <w:rsid w:val="00BC760F"/>
    <w:rsid w:val="00BC785B"/>
    <w:rsid w:val="00BD128A"/>
    <w:rsid w:val="00BD2712"/>
    <w:rsid w:val="00BD3AF0"/>
    <w:rsid w:val="00BD6366"/>
    <w:rsid w:val="00BD6F7D"/>
    <w:rsid w:val="00BD7E7D"/>
    <w:rsid w:val="00BE0000"/>
    <w:rsid w:val="00BE250C"/>
    <w:rsid w:val="00BE2511"/>
    <w:rsid w:val="00BE28A7"/>
    <w:rsid w:val="00BE2DE8"/>
    <w:rsid w:val="00BE39C5"/>
    <w:rsid w:val="00BE45B4"/>
    <w:rsid w:val="00BE5583"/>
    <w:rsid w:val="00BE6A15"/>
    <w:rsid w:val="00BF1398"/>
    <w:rsid w:val="00BF36C8"/>
    <w:rsid w:val="00BF3E42"/>
    <w:rsid w:val="00BF597F"/>
    <w:rsid w:val="00C00FA1"/>
    <w:rsid w:val="00C02103"/>
    <w:rsid w:val="00C023AC"/>
    <w:rsid w:val="00C0373E"/>
    <w:rsid w:val="00C054A2"/>
    <w:rsid w:val="00C05800"/>
    <w:rsid w:val="00C058D1"/>
    <w:rsid w:val="00C10FDE"/>
    <w:rsid w:val="00C11562"/>
    <w:rsid w:val="00C11B1E"/>
    <w:rsid w:val="00C13ED5"/>
    <w:rsid w:val="00C14A64"/>
    <w:rsid w:val="00C157E6"/>
    <w:rsid w:val="00C15C5C"/>
    <w:rsid w:val="00C16AA8"/>
    <w:rsid w:val="00C17C5D"/>
    <w:rsid w:val="00C20591"/>
    <w:rsid w:val="00C216EA"/>
    <w:rsid w:val="00C221E9"/>
    <w:rsid w:val="00C22E7B"/>
    <w:rsid w:val="00C230CF"/>
    <w:rsid w:val="00C242DD"/>
    <w:rsid w:val="00C25C50"/>
    <w:rsid w:val="00C260C5"/>
    <w:rsid w:val="00C3138A"/>
    <w:rsid w:val="00C32D42"/>
    <w:rsid w:val="00C34B60"/>
    <w:rsid w:val="00C362B5"/>
    <w:rsid w:val="00C37DC3"/>
    <w:rsid w:val="00C453BB"/>
    <w:rsid w:val="00C47081"/>
    <w:rsid w:val="00C4794E"/>
    <w:rsid w:val="00C503A1"/>
    <w:rsid w:val="00C51474"/>
    <w:rsid w:val="00C51AC9"/>
    <w:rsid w:val="00C51C63"/>
    <w:rsid w:val="00C54330"/>
    <w:rsid w:val="00C55B81"/>
    <w:rsid w:val="00C601A8"/>
    <w:rsid w:val="00C60D27"/>
    <w:rsid w:val="00C62C80"/>
    <w:rsid w:val="00C65AC3"/>
    <w:rsid w:val="00C65C1A"/>
    <w:rsid w:val="00C65F8C"/>
    <w:rsid w:val="00C67D7B"/>
    <w:rsid w:val="00C67E4B"/>
    <w:rsid w:val="00C70B01"/>
    <w:rsid w:val="00C71614"/>
    <w:rsid w:val="00C7185A"/>
    <w:rsid w:val="00C72D5F"/>
    <w:rsid w:val="00C77620"/>
    <w:rsid w:val="00C84A03"/>
    <w:rsid w:val="00C8611B"/>
    <w:rsid w:val="00C86EA3"/>
    <w:rsid w:val="00C90F58"/>
    <w:rsid w:val="00C9135A"/>
    <w:rsid w:val="00C9358A"/>
    <w:rsid w:val="00C943D0"/>
    <w:rsid w:val="00C94AF2"/>
    <w:rsid w:val="00C94CBD"/>
    <w:rsid w:val="00C95AD2"/>
    <w:rsid w:val="00CA0F2C"/>
    <w:rsid w:val="00CA27ED"/>
    <w:rsid w:val="00CA2C69"/>
    <w:rsid w:val="00CA2EE2"/>
    <w:rsid w:val="00CA377E"/>
    <w:rsid w:val="00CA51C3"/>
    <w:rsid w:val="00CA604A"/>
    <w:rsid w:val="00CA61F8"/>
    <w:rsid w:val="00CA7658"/>
    <w:rsid w:val="00CA7D60"/>
    <w:rsid w:val="00CB0FF4"/>
    <w:rsid w:val="00CB1239"/>
    <w:rsid w:val="00CB22A0"/>
    <w:rsid w:val="00CB2F5A"/>
    <w:rsid w:val="00CB37A2"/>
    <w:rsid w:val="00CB4A9C"/>
    <w:rsid w:val="00CB5818"/>
    <w:rsid w:val="00CB642E"/>
    <w:rsid w:val="00CB75F0"/>
    <w:rsid w:val="00CB79A9"/>
    <w:rsid w:val="00CC0673"/>
    <w:rsid w:val="00CC0C62"/>
    <w:rsid w:val="00CC1A09"/>
    <w:rsid w:val="00CC21FD"/>
    <w:rsid w:val="00CC4735"/>
    <w:rsid w:val="00CC54FA"/>
    <w:rsid w:val="00CC5D4E"/>
    <w:rsid w:val="00CC641B"/>
    <w:rsid w:val="00CC7389"/>
    <w:rsid w:val="00CC7C6B"/>
    <w:rsid w:val="00CD092B"/>
    <w:rsid w:val="00CD5085"/>
    <w:rsid w:val="00CD612F"/>
    <w:rsid w:val="00CD6E1A"/>
    <w:rsid w:val="00CD7624"/>
    <w:rsid w:val="00CE113C"/>
    <w:rsid w:val="00CE173D"/>
    <w:rsid w:val="00CE228C"/>
    <w:rsid w:val="00CE253F"/>
    <w:rsid w:val="00CE281A"/>
    <w:rsid w:val="00CE340B"/>
    <w:rsid w:val="00CE34CA"/>
    <w:rsid w:val="00CE421A"/>
    <w:rsid w:val="00CE5ADF"/>
    <w:rsid w:val="00CE5D85"/>
    <w:rsid w:val="00CF0CB9"/>
    <w:rsid w:val="00CF1399"/>
    <w:rsid w:val="00CF2283"/>
    <w:rsid w:val="00CF308F"/>
    <w:rsid w:val="00CF316A"/>
    <w:rsid w:val="00CF3534"/>
    <w:rsid w:val="00CF4C84"/>
    <w:rsid w:val="00CF507A"/>
    <w:rsid w:val="00CF605A"/>
    <w:rsid w:val="00CF63FD"/>
    <w:rsid w:val="00CF7F35"/>
    <w:rsid w:val="00D000D2"/>
    <w:rsid w:val="00D0041C"/>
    <w:rsid w:val="00D015D3"/>
    <w:rsid w:val="00D019DE"/>
    <w:rsid w:val="00D01A94"/>
    <w:rsid w:val="00D03B2B"/>
    <w:rsid w:val="00D04721"/>
    <w:rsid w:val="00D0475D"/>
    <w:rsid w:val="00D048C7"/>
    <w:rsid w:val="00D04BD7"/>
    <w:rsid w:val="00D04CBE"/>
    <w:rsid w:val="00D078AB"/>
    <w:rsid w:val="00D10A71"/>
    <w:rsid w:val="00D1232F"/>
    <w:rsid w:val="00D14249"/>
    <w:rsid w:val="00D21318"/>
    <w:rsid w:val="00D225A3"/>
    <w:rsid w:val="00D22864"/>
    <w:rsid w:val="00D23DA1"/>
    <w:rsid w:val="00D2555F"/>
    <w:rsid w:val="00D30837"/>
    <w:rsid w:val="00D3126C"/>
    <w:rsid w:val="00D324DC"/>
    <w:rsid w:val="00D33650"/>
    <w:rsid w:val="00D33FE5"/>
    <w:rsid w:val="00D34532"/>
    <w:rsid w:val="00D367EE"/>
    <w:rsid w:val="00D40C6B"/>
    <w:rsid w:val="00D42508"/>
    <w:rsid w:val="00D43003"/>
    <w:rsid w:val="00D43F21"/>
    <w:rsid w:val="00D450B6"/>
    <w:rsid w:val="00D45150"/>
    <w:rsid w:val="00D45D3D"/>
    <w:rsid w:val="00D463AC"/>
    <w:rsid w:val="00D465AF"/>
    <w:rsid w:val="00D472B1"/>
    <w:rsid w:val="00D51391"/>
    <w:rsid w:val="00D51B2A"/>
    <w:rsid w:val="00D52A23"/>
    <w:rsid w:val="00D556C9"/>
    <w:rsid w:val="00D563DE"/>
    <w:rsid w:val="00D6117A"/>
    <w:rsid w:val="00D636FB"/>
    <w:rsid w:val="00D6404E"/>
    <w:rsid w:val="00D641DB"/>
    <w:rsid w:val="00D64336"/>
    <w:rsid w:val="00D65715"/>
    <w:rsid w:val="00D66162"/>
    <w:rsid w:val="00D66A34"/>
    <w:rsid w:val="00D67462"/>
    <w:rsid w:val="00D67AC4"/>
    <w:rsid w:val="00D7365D"/>
    <w:rsid w:val="00D74C04"/>
    <w:rsid w:val="00D74CE5"/>
    <w:rsid w:val="00D75827"/>
    <w:rsid w:val="00D7713A"/>
    <w:rsid w:val="00D7742D"/>
    <w:rsid w:val="00D80207"/>
    <w:rsid w:val="00D80677"/>
    <w:rsid w:val="00D8794C"/>
    <w:rsid w:val="00D900E3"/>
    <w:rsid w:val="00D903A8"/>
    <w:rsid w:val="00D90697"/>
    <w:rsid w:val="00D90771"/>
    <w:rsid w:val="00D90A3A"/>
    <w:rsid w:val="00D920F1"/>
    <w:rsid w:val="00D929E2"/>
    <w:rsid w:val="00D93D68"/>
    <w:rsid w:val="00D9662D"/>
    <w:rsid w:val="00D96D05"/>
    <w:rsid w:val="00D974E8"/>
    <w:rsid w:val="00D97B8E"/>
    <w:rsid w:val="00DA03F6"/>
    <w:rsid w:val="00DA1026"/>
    <w:rsid w:val="00DA196A"/>
    <w:rsid w:val="00DA39E3"/>
    <w:rsid w:val="00DA598D"/>
    <w:rsid w:val="00DB03FB"/>
    <w:rsid w:val="00DB100F"/>
    <w:rsid w:val="00DB2BAA"/>
    <w:rsid w:val="00DB3DEE"/>
    <w:rsid w:val="00DB504F"/>
    <w:rsid w:val="00DB515D"/>
    <w:rsid w:val="00DB561B"/>
    <w:rsid w:val="00DB6A06"/>
    <w:rsid w:val="00DB6EC1"/>
    <w:rsid w:val="00DB6FF7"/>
    <w:rsid w:val="00DC0DF9"/>
    <w:rsid w:val="00DC141D"/>
    <w:rsid w:val="00DC1AFF"/>
    <w:rsid w:val="00DC2B0A"/>
    <w:rsid w:val="00DC42A7"/>
    <w:rsid w:val="00DC49E6"/>
    <w:rsid w:val="00DC6A23"/>
    <w:rsid w:val="00DC72EF"/>
    <w:rsid w:val="00DD0577"/>
    <w:rsid w:val="00DD0C2F"/>
    <w:rsid w:val="00DD0F28"/>
    <w:rsid w:val="00DD11BE"/>
    <w:rsid w:val="00DD20DA"/>
    <w:rsid w:val="00DD295E"/>
    <w:rsid w:val="00DD2C30"/>
    <w:rsid w:val="00DD3ECA"/>
    <w:rsid w:val="00DD4359"/>
    <w:rsid w:val="00DD52DA"/>
    <w:rsid w:val="00DD63E2"/>
    <w:rsid w:val="00DD6475"/>
    <w:rsid w:val="00DE0283"/>
    <w:rsid w:val="00DE2B51"/>
    <w:rsid w:val="00DE2FAD"/>
    <w:rsid w:val="00DE3404"/>
    <w:rsid w:val="00DE7470"/>
    <w:rsid w:val="00DE7693"/>
    <w:rsid w:val="00DF2284"/>
    <w:rsid w:val="00E03C03"/>
    <w:rsid w:val="00E10189"/>
    <w:rsid w:val="00E10459"/>
    <w:rsid w:val="00E13341"/>
    <w:rsid w:val="00E15815"/>
    <w:rsid w:val="00E15A61"/>
    <w:rsid w:val="00E168D2"/>
    <w:rsid w:val="00E200D4"/>
    <w:rsid w:val="00E21A7E"/>
    <w:rsid w:val="00E2218B"/>
    <w:rsid w:val="00E23794"/>
    <w:rsid w:val="00E2692E"/>
    <w:rsid w:val="00E27567"/>
    <w:rsid w:val="00E303E2"/>
    <w:rsid w:val="00E30E84"/>
    <w:rsid w:val="00E3101E"/>
    <w:rsid w:val="00E31678"/>
    <w:rsid w:val="00E320E3"/>
    <w:rsid w:val="00E32515"/>
    <w:rsid w:val="00E32ACC"/>
    <w:rsid w:val="00E347B4"/>
    <w:rsid w:val="00E354CB"/>
    <w:rsid w:val="00E36A3F"/>
    <w:rsid w:val="00E37562"/>
    <w:rsid w:val="00E37A69"/>
    <w:rsid w:val="00E41B67"/>
    <w:rsid w:val="00E42804"/>
    <w:rsid w:val="00E430B5"/>
    <w:rsid w:val="00E434CA"/>
    <w:rsid w:val="00E471F8"/>
    <w:rsid w:val="00E51799"/>
    <w:rsid w:val="00E527B8"/>
    <w:rsid w:val="00E52C58"/>
    <w:rsid w:val="00E54272"/>
    <w:rsid w:val="00E55B93"/>
    <w:rsid w:val="00E55E46"/>
    <w:rsid w:val="00E56D77"/>
    <w:rsid w:val="00E56F4C"/>
    <w:rsid w:val="00E57D07"/>
    <w:rsid w:val="00E61A6A"/>
    <w:rsid w:val="00E61BE0"/>
    <w:rsid w:val="00E638D6"/>
    <w:rsid w:val="00E638F6"/>
    <w:rsid w:val="00E64FBD"/>
    <w:rsid w:val="00E66558"/>
    <w:rsid w:val="00E66F47"/>
    <w:rsid w:val="00E72892"/>
    <w:rsid w:val="00E73EB6"/>
    <w:rsid w:val="00E74A64"/>
    <w:rsid w:val="00E77BF1"/>
    <w:rsid w:val="00E80630"/>
    <w:rsid w:val="00E81957"/>
    <w:rsid w:val="00E8573F"/>
    <w:rsid w:val="00E8658D"/>
    <w:rsid w:val="00E90DDD"/>
    <w:rsid w:val="00E9126E"/>
    <w:rsid w:val="00E92051"/>
    <w:rsid w:val="00E92430"/>
    <w:rsid w:val="00E944A8"/>
    <w:rsid w:val="00E94EF1"/>
    <w:rsid w:val="00E963B4"/>
    <w:rsid w:val="00EA26E1"/>
    <w:rsid w:val="00EA3C4D"/>
    <w:rsid w:val="00EA4BD0"/>
    <w:rsid w:val="00EA7A54"/>
    <w:rsid w:val="00EA7D88"/>
    <w:rsid w:val="00EB2A21"/>
    <w:rsid w:val="00EB3789"/>
    <w:rsid w:val="00EB39F9"/>
    <w:rsid w:val="00EB3F0B"/>
    <w:rsid w:val="00EB7AE5"/>
    <w:rsid w:val="00EC05B7"/>
    <w:rsid w:val="00EC107D"/>
    <w:rsid w:val="00EC2FD4"/>
    <w:rsid w:val="00EC513F"/>
    <w:rsid w:val="00EC599C"/>
    <w:rsid w:val="00EC766B"/>
    <w:rsid w:val="00EC7D43"/>
    <w:rsid w:val="00ED0170"/>
    <w:rsid w:val="00ED0C64"/>
    <w:rsid w:val="00ED1214"/>
    <w:rsid w:val="00ED1C81"/>
    <w:rsid w:val="00ED2661"/>
    <w:rsid w:val="00ED490E"/>
    <w:rsid w:val="00ED55B0"/>
    <w:rsid w:val="00ED55E9"/>
    <w:rsid w:val="00ED6126"/>
    <w:rsid w:val="00EE0854"/>
    <w:rsid w:val="00EE1420"/>
    <w:rsid w:val="00EE3B6D"/>
    <w:rsid w:val="00EE413E"/>
    <w:rsid w:val="00EE47DC"/>
    <w:rsid w:val="00EE5269"/>
    <w:rsid w:val="00EE64AD"/>
    <w:rsid w:val="00EF13B4"/>
    <w:rsid w:val="00EF2439"/>
    <w:rsid w:val="00EF2887"/>
    <w:rsid w:val="00EF3990"/>
    <w:rsid w:val="00EF3D40"/>
    <w:rsid w:val="00EF42A5"/>
    <w:rsid w:val="00EF4F82"/>
    <w:rsid w:val="00EF688B"/>
    <w:rsid w:val="00EF754A"/>
    <w:rsid w:val="00F0020D"/>
    <w:rsid w:val="00F01EAC"/>
    <w:rsid w:val="00F0353D"/>
    <w:rsid w:val="00F039B2"/>
    <w:rsid w:val="00F04E4C"/>
    <w:rsid w:val="00F05E94"/>
    <w:rsid w:val="00F062F7"/>
    <w:rsid w:val="00F064C6"/>
    <w:rsid w:val="00F0737D"/>
    <w:rsid w:val="00F07805"/>
    <w:rsid w:val="00F10230"/>
    <w:rsid w:val="00F12406"/>
    <w:rsid w:val="00F12B7C"/>
    <w:rsid w:val="00F13FA6"/>
    <w:rsid w:val="00F14DC5"/>
    <w:rsid w:val="00F152DD"/>
    <w:rsid w:val="00F1532E"/>
    <w:rsid w:val="00F1608D"/>
    <w:rsid w:val="00F1657B"/>
    <w:rsid w:val="00F16F3E"/>
    <w:rsid w:val="00F17657"/>
    <w:rsid w:val="00F23078"/>
    <w:rsid w:val="00F23793"/>
    <w:rsid w:val="00F23B31"/>
    <w:rsid w:val="00F243C6"/>
    <w:rsid w:val="00F24493"/>
    <w:rsid w:val="00F2589A"/>
    <w:rsid w:val="00F27C53"/>
    <w:rsid w:val="00F27ED8"/>
    <w:rsid w:val="00F27F5E"/>
    <w:rsid w:val="00F307D3"/>
    <w:rsid w:val="00F30FEF"/>
    <w:rsid w:val="00F3119C"/>
    <w:rsid w:val="00F335FB"/>
    <w:rsid w:val="00F358B1"/>
    <w:rsid w:val="00F35D00"/>
    <w:rsid w:val="00F44109"/>
    <w:rsid w:val="00F44409"/>
    <w:rsid w:val="00F44FA6"/>
    <w:rsid w:val="00F47E4E"/>
    <w:rsid w:val="00F51785"/>
    <w:rsid w:val="00F52455"/>
    <w:rsid w:val="00F56175"/>
    <w:rsid w:val="00F56B99"/>
    <w:rsid w:val="00F56CF2"/>
    <w:rsid w:val="00F56EA0"/>
    <w:rsid w:val="00F570EF"/>
    <w:rsid w:val="00F60E95"/>
    <w:rsid w:val="00F61048"/>
    <w:rsid w:val="00F6104C"/>
    <w:rsid w:val="00F622E0"/>
    <w:rsid w:val="00F6271B"/>
    <w:rsid w:val="00F62ED2"/>
    <w:rsid w:val="00F636D5"/>
    <w:rsid w:val="00F63832"/>
    <w:rsid w:val="00F642D2"/>
    <w:rsid w:val="00F64C69"/>
    <w:rsid w:val="00F6572E"/>
    <w:rsid w:val="00F66E24"/>
    <w:rsid w:val="00F66E8C"/>
    <w:rsid w:val="00F70786"/>
    <w:rsid w:val="00F7324F"/>
    <w:rsid w:val="00F756B6"/>
    <w:rsid w:val="00F82732"/>
    <w:rsid w:val="00F83D40"/>
    <w:rsid w:val="00F84CDB"/>
    <w:rsid w:val="00F8532A"/>
    <w:rsid w:val="00F85C03"/>
    <w:rsid w:val="00F861F9"/>
    <w:rsid w:val="00F86FB5"/>
    <w:rsid w:val="00F91FD8"/>
    <w:rsid w:val="00F9428A"/>
    <w:rsid w:val="00F94918"/>
    <w:rsid w:val="00F9664B"/>
    <w:rsid w:val="00FA14AF"/>
    <w:rsid w:val="00FA1D43"/>
    <w:rsid w:val="00FA23FA"/>
    <w:rsid w:val="00FA3A02"/>
    <w:rsid w:val="00FA57FE"/>
    <w:rsid w:val="00FA6695"/>
    <w:rsid w:val="00FB0330"/>
    <w:rsid w:val="00FB13D5"/>
    <w:rsid w:val="00FB2435"/>
    <w:rsid w:val="00FB386A"/>
    <w:rsid w:val="00FB3A9B"/>
    <w:rsid w:val="00FB4C62"/>
    <w:rsid w:val="00FB5741"/>
    <w:rsid w:val="00FB76E7"/>
    <w:rsid w:val="00FC026E"/>
    <w:rsid w:val="00FC1895"/>
    <w:rsid w:val="00FC6242"/>
    <w:rsid w:val="00FC63B3"/>
    <w:rsid w:val="00FC6B21"/>
    <w:rsid w:val="00FC7F71"/>
    <w:rsid w:val="00FD0CE9"/>
    <w:rsid w:val="00FD0FE0"/>
    <w:rsid w:val="00FD1A11"/>
    <w:rsid w:val="00FD1D8D"/>
    <w:rsid w:val="00FD2184"/>
    <w:rsid w:val="00FD22BE"/>
    <w:rsid w:val="00FD250C"/>
    <w:rsid w:val="00FD2627"/>
    <w:rsid w:val="00FD2C55"/>
    <w:rsid w:val="00FD2E77"/>
    <w:rsid w:val="00FD3EFC"/>
    <w:rsid w:val="00FD4315"/>
    <w:rsid w:val="00FD4ABC"/>
    <w:rsid w:val="00FD5E70"/>
    <w:rsid w:val="00FD5F82"/>
    <w:rsid w:val="00FF41C7"/>
    <w:rsid w:val="00FF5691"/>
    <w:rsid w:val="00FF5C08"/>
    <w:rsid w:val="00FF5C4E"/>
    <w:rsid w:val="00FF6CEA"/>
    <w:rsid w:val="00FF7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Spacing">
    <w:name w:val="No Spacing"/>
    <w:uiPriority w:val="1"/>
    <w:qFormat/>
    <w:rsid w:val="00F83D40"/>
    <w:pPr>
      <w:suppressAutoHyphens/>
    </w:pPr>
    <w:rPr>
      <w:color w:val="0D0D0D"/>
      <w:sz w:val="24"/>
      <w:szCs w:val="24"/>
    </w:rPr>
  </w:style>
  <w:style w:type="table" w:styleId="TableGrid">
    <w:name w:val="Table Grid"/>
    <w:basedOn w:val="TableNormal"/>
    <w:uiPriority w:val="39"/>
    <w:rsid w:val="0048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809291">
      <w:bodyDiv w:val="1"/>
      <w:marLeft w:val="0"/>
      <w:marRight w:val="0"/>
      <w:marTop w:val="0"/>
      <w:marBottom w:val="0"/>
      <w:divBdr>
        <w:top w:val="none" w:sz="0" w:space="0" w:color="auto"/>
        <w:left w:val="none" w:sz="0" w:space="0" w:color="auto"/>
        <w:bottom w:val="none" w:sz="0" w:space="0" w:color="auto"/>
        <w:right w:val="none" w:sz="0" w:space="0" w:color="auto"/>
      </w:divBdr>
      <w:divsChild>
        <w:div w:id="32312707">
          <w:marLeft w:val="0"/>
          <w:marRight w:val="4800"/>
          <w:marTop w:val="0"/>
          <w:marBottom w:val="0"/>
          <w:divBdr>
            <w:top w:val="single" w:sz="2" w:space="0" w:color="EEEEEE"/>
            <w:left w:val="single" w:sz="2" w:space="0" w:color="EEEEEE"/>
            <w:bottom w:val="single" w:sz="2" w:space="0" w:color="EEEEEE"/>
            <w:right w:val="single" w:sz="2" w:space="0" w:color="EEEEEE"/>
          </w:divBdr>
          <w:divsChild>
            <w:div w:id="362289511">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910572306">
          <w:marLeft w:val="4800"/>
          <w:marRight w:val="4800"/>
          <w:marTop w:val="0"/>
          <w:marBottom w:val="0"/>
          <w:divBdr>
            <w:top w:val="single" w:sz="2" w:space="0" w:color="EEEEEE"/>
            <w:left w:val="single" w:sz="2" w:space="0" w:color="EEEEEE"/>
            <w:bottom w:val="single" w:sz="2" w:space="0" w:color="EEEEEE"/>
            <w:right w:val="single" w:sz="2" w:space="0" w:color="EEEEEE"/>
          </w:divBdr>
          <w:divsChild>
            <w:div w:id="1432622518">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851531324">
      <w:bodyDiv w:val="1"/>
      <w:marLeft w:val="0"/>
      <w:marRight w:val="0"/>
      <w:marTop w:val="0"/>
      <w:marBottom w:val="0"/>
      <w:divBdr>
        <w:top w:val="none" w:sz="0" w:space="0" w:color="auto"/>
        <w:left w:val="none" w:sz="0" w:space="0" w:color="auto"/>
        <w:bottom w:val="none" w:sz="0" w:space="0" w:color="auto"/>
        <w:right w:val="none" w:sz="0" w:space="0" w:color="auto"/>
      </w:divBdr>
      <w:divsChild>
        <w:div w:id="1701121432">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jrf.org.uk/child-poverty/special-educational-needs-and-their-links-to-poverty" TargetMode="External"/><Relationship Id="rId13" Type="http://schemas.openxmlformats.org/officeDocument/2006/relationships/hyperlink" Target="https://educationendowmentfoundation.org.uk/education-evidence/teaching-learning-toolkit/mastery-learning" TargetMode="External"/><Relationship Id="rId18" Type="http://schemas.openxmlformats.org/officeDocument/2006/relationships/hyperlink" Target="https://educationendowmentfoundation.org.uk/education-evidence/teaching-learning-toolkit/one-to-one-tuition" TargetMode="External"/><Relationship Id="rId26" Type="http://schemas.openxmlformats.org/officeDocument/2006/relationships/hyperlink" Target="https://educationendowmentfoundation.org.uk/news/breakfast-clubs-found-to-boost-primary-pupils-reading-writing-and-maths-res?utm_source=/news/breakfast-clubs-found-to-boost-primary-pupils-reading-writing-and-maths-res&amp;utm_medium=search&amp;utm_campaign=site_search&amp;search_term=breakfast" TargetMode="External"/><Relationship Id="rId39"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s://educationendowmentfoundation.org.uk/education-evidence/teaching-learning-toolkit/one-to-one-tuition" TargetMode="External"/><Relationship Id="rId34" Type="http://schemas.openxmlformats.org/officeDocument/2006/relationships/header" Target="header3.xml"/><Relationship Id="rId42"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s://educationendowmentfoundation.org.uk/education-evidence/guidance-reports/maths-ks-2-3" TargetMode="External"/><Relationship Id="rId17" Type="http://schemas.openxmlformats.org/officeDocument/2006/relationships/hyperlink" Target="https://educationendowmentfoundation.org.uk/education-evidence/teaching-learning-toolkit/phonics" TargetMode="External"/><Relationship Id="rId25" Type="http://schemas.openxmlformats.org/officeDocument/2006/relationships/hyperlink" Target="https://educationendowmentfoundation.org.uk/education-evidence/evidence-reviews/attendance-interventions-rapid-evidence-assessment?utm_source=/education-evidence/evidence-reviews/attendance-interventions-rapid-evidence-assessment&amp;utm_medium=search&amp;utm_campaign=site_search&amp;search_term=attend" TargetMode="External"/><Relationship Id="rId33" Type="http://schemas.openxmlformats.org/officeDocument/2006/relationships/footer" Target="footer2.xml"/><Relationship Id="rId38" Type="http://schemas.openxmlformats.org/officeDocument/2006/relationships/image" Target="media/image3.pn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ducationendowmentfoundation.org.uk/education-evidence/teaching-learning-toolkit/feedback" TargetMode="External"/><Relationship Id="rId20" Type="http://schemas.openxmlformats.org/officeDocument/2006/relationships/hyperlink" Target="https://educationendowmentfoundation.org.uk/education-evidence/teaching-learning-toolkit/feedback" TargetMode="External"/><Relationship Id="rId29" Type="http://schemas.openxmlformats.org/officeDocument/2006/relationships/hyperlink" Target="https://educationendowmentfoundation.org.uk/education-evidence/leadership-and-planning/supporting-attendance/build-a-culture-of-community-and-belonging-for-pupils" TargetMode="External"/><Relationship Id="rId41"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endowmentfoundation.org.uk/education-evidence/guidance-reports/early-maths" TargetMode="External"/><Relationship Id="rId24" Type="http://schemas.openxmlformats.org/officeDocument/2006/relationships/hyperlink" Target="https://educationendowmentfoundation.org.uk/education-evidence/teaching-learning-toolkit/small-group-tuition" TargetMode="External"/><Relationship Id="rId32" Type="http://schemas.openxmlformats.org/officeDocument/2006/relationships/footer" Target="footer1.xml"/><Relationship Id="rId37" Type="http://schemas.openxmlformats.org/officeDocument/2006/relationships/image" Target="media/image2.png"/><Relationship Id="rId40" Type="http://schemas.openxmlformats.org/officeDocument/2006/relationships/image" Target="media/image5.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ambridgeinternational.org/Images/584543-great-teaching-toolkit-evidence-review.pdf" TargetMode="External"/><Relationship Id="rId23" Type="http://schemas.openxmlformats.org/officeDocument/2006/relationships/hyperlink" Target="https://educationendowmentfoundation.org.uk/education-evidence/teaching-learning-toolkit/feedback" TargetMode="External"/><Relationship Id="rId28" Type="http://schemas.openxmlformats.org/officeDocument/2006/relationships/hyperlink" Target="https://www.ucl.ac.uk/ioe/news/2020/nov/research-shows-sense-belonging-important-pupils-learning-and-behaviour" TargetMode="External"/><Relationship Id="rId36" Type="http://schemas.openxmlformats.org/officeDocument/2006/relationships/image" Target="media/image1.png"/><Relationship Id="rId10" Type="http://schemas.openxmlformats.org/officeDocument/2006/relationships/hyperlink" Target="https://educationendowmentfoundation.org.uk/education-evidence/guidance-reports/literacy-ks2" TargetMode="External"/><Relationship Id="rId19" Type="http://schemas.openxmlformats.org/officeDocument/2006/relationships/hyperlink" Target="https://educationendowmentfoundation.org.uk/education-evidence/teaching-learning-toolkit/small-group-tuition" TargetMode="External"/><Relationship Id="rId31" Type="http://schemas.openxmlformats.org/officeDocument/2006/relationships/header" Target="header2.xml"/><Relationship Id="rId44"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s://educationendowmentfoundation.org.uk/education-evidence/teaching-learning-toolkit/oral-language-interventions" TargetMode="External"/><Relationship Id="rId14" Type="http://schemas.openxmlformats.org/officeDocument/2006/relationships/hyperlink" Target="https://leadacademytrust-my.sharepoint.com/personal/emmathorne_stannswellacademy_co_uk/Documents/CLT/Pupil%20Premium/2023%20-2024/EEF%20Special%20Educational%20Needs%20in%20Mainstream%20Schools" TargetMode="External"/><Relationship Id="rId22" Type="http://schemas.openxmlformats.org/officeDocument/2006/relationships/hyperlink" Target="https://educationendowmentfoundation.org.uk/education-evidence/teaching-learning-toolkit/small-group-tuition" TargetMode="External"/><Relationship Id="rId27" Type="http://schemas.openxmlformats.org/officeDocument/2006/relationships/hyperlink" Target="https://assets.publishing.service.gov.uk/government/uploads/system/uploads/attachment_data/file/497825/Counselling_in_schools.pdf" TargetMode="External"/><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8D1EE-8BB0-4B59-8FE6-C163BC62E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6456</TotalTime>
  <Pages>20</Pages>
  <Words>5855</Words>
  <Characters>33375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39152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Emily Smithurst</cp:lastModifiedBy>
  <cp:revision>246</cp:revision>
  <cp:lastPrinted>2022-10-14T14:38:00Z</cp:lastPrinted>
  <dcterms:created xsi:type="dcterms:W3CDTF">2025-07-11T15:59:00Z</dcterms:created>
  <dcterms:modified xsi:type="dcterms:W3CDTF">2025-12-10T15:11:00Z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